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FFAD34" w14:textId="77777777" w:rsidR="00061D85" w:rsidRDefault="00C0526E">
      <w:pPr>
        <w:pStyle w:val="Text"/>
        <w:rPr>
          <w:sz w:val="18"/>
          <w:szCs w:val="18"/>
        </w:rPr>
      </w:pPr>
      <w:r>
        <w:rPr>
          <w:sz w:val="18"/>
          <w:szCs w:val="18"/>
        </w:rPr>
        <w:footnoteReference w:customMarkFollows="1" w:id="1"/>
        <w:sym w:font="Symbol" w:char="F020"/>
      </w:r>
    </w:p>
    <w:p w14:paraId="3DE48A10" w14:textId="7CC0854D" w:rsidR="00090856" w:rsidRDefault="00C0526E">
      <w:pPr>
        <w:pStyle w:val="Title"/>
        <w:framePr w:wrap="notBeside"/>
        <w:rPr>
          <w:b/>
          <w:bCs/>
        </w:rPr>
      </w:pPr>
      <w:r>
        <w:rPr>
          <w:b/>
          <w:bCs/>
        </w:rPr>
        <w:t xml:space="preserve"> </w:t>
      </w:r>
      <w:r w:rsidR="00811AD0">
        <w:rPr>
          <w:b/>
          <w:bCs/>
        </w:rPr>
        <w:t>Value Creation in Mid-Market M&amp;A:</w:t>
      </w:r>
    </w:p>
    <w:p w14:paraId="2EA47650" w14:textId="03916AF2" w:rsidR="00061D85" w:rsidRDefault="00811AD0">
      <w:pPr>
        <w:pStyle w:val="Title"/>
        <w:framePr w:wrap="notBeside"/>
      </w:pPr>
      <w:r>
        <w:rPr>
          <w:b/>
          <w:bCs/>
        </w:rPr>
        <w:t>an IT Perspective</w:t>
      </w:r>
    </w:p>
    <w:p w14:paraId="765BAD68" w14:textId="77777777" w:rsidR="00061D85" w:rsidRDefault="00C0526E">
      <w:pPr>
        <w:pStyle w:val="Authors"/>
        <w:framePr w:wrap="notBeside"/>
        <w:spacing w:after="0"/>
      </w:pPr>
      <w:r>
        <w:t xml:space="preserve">Thomas C. Fountain </w:t>
      </w:r>
    </w:p>
    <w:p w14:paraId="36186086" w14:textId="2E810BED" w:rsidR="00061D85" w:rsidRDefault="000C184A">
      <w:pPr>
        <w:pStyle w:val="Authors"/>
        <w:framePr w:wrap="notBeside"/>
        <w:spacing w:after="0"/>
      </w:pPr>
      <w:r>
        <w:t>Operating Partner, IT &amp; Digital Transformation</w:t>
      </w:r>
    </w:p>
    <w:p w14:paraId="603BC454" w14:textId="0D311E73" w:rsidR="00061D85" w:rsidRDefault="000C184A">
      <w:pPr>
        <w:pStyle w:val="Authors"/>
        <w:framePr w:wrap="notBeside"/>
        <w:spacing w:after="0"/>
      </w:pPr>
      <w:r>
        <w:t>One Rock Capital Partners</w:t>
      </w:r>
      <w:r w:rsidR="00C0526E">
        <w:t xml:space="preserve">, </w:t>
      </w:r>
      <w:r>
        <w:t>New York, NY</w:t>
      </w:r>
    </w:p>
    <w:p w14:paraId="6FE7A793" w14:textId="52BD90C3" w:rsidR="00061D85" w:rsidRDefault="00C0526E">
      <w:pPr>
        <w:pStyle w:val="Authors"/>
        <w:framePr w:wrap="notBeside"/>
        <w:spacing w:after="0"/>
        <w:rPr>
          <w:lang w:val="fr-FR"/>
        </w:rPr>
      </w:pPr>
      <w:r>
        <w:rPr>
          <w:lang w:val="fr-FR"/>
        </w:rPr>
        <w:t>tfountain@</w:t>
      </w:r>
      <w:r w:rsidR="000C184A">
        <w:rPr>
          <w:lang w:val="fr-FR"/>
        </w:rPr>
        <w:t>onerockcapital.com</w:t>
      </w:r>
    </w:p>
    <w:p w14:paraId="10D57E6F" w14:textId="77777777" w:rsidR="00061D85" w:rsidRDefault="00C0526E">
      <w:pPr>
        <w:pStyle w:val="Heading1"/>
      </w:pPr>
      <w:r>
        <w:t>I</w:t>
      </w:r>
      <w:r>
        <w:rPr>
          <w:sz w:val="16"/>
          <w:szCs w:val="16"/>
        </w:rPr>
        <w:t>NTRODUCTION</w:t>
      </w:r>
    </w:p>
    <w:p w14:paraId="6960234A" w14:textId="66ED89BC" w:rsidR="00061D85" w:rsidRPr="00A97D2B" w:rsidRDefault="002330C0" w:rsidP="00A97D2B">
      <w:pPr>
        <w:pStyle w:val="Text"/>
        <w:keepNext/>
        <w:framePr w:dropCap="drop" w:lines="3" w:h="472" w:hRule="exact" w:wrap="auto" w:vAnchor="text" w:hAnchor="text"/>
        <w:spacing w:line="472" w:lineRule="exact"/>
        <w:ind w:firstLine="0"/>
        <w:rPr>
          <w:smallCaps/>
          <w:position w:val="-5"/>
          <w:sz w:val="60"/>
          <w:szCs w:val="56"/>
        </w:rPr>
      </w:pPr>
      <w:r w:rsidRPr="00A97D2B">
        <w:rPr>
          <w:position w:val="-5"/>
          <w:sz w:val="60"/>
          <w:szCs w:val="56"/>
        </w:rPr>
        <w:t>I</w:t>
      </w:r>
    </w:p>
    <w:p w14:paraId="3C7C2305" w14:textId="0D2179AF" w:rsidR="004D4B01" w:rsidRDefault="002330C0">
      <w:pPr>
        <w:pStyle w:val="Equation"/>
        <w:widowControl/>
        <w:tabs>
          <w:tab w:val="clear" w:pos="5040"/>
        </w:tabs>
        <w:spacing w:line="240" w:lineRule="auto"/>
      </w:pPr>
      <w:r>
        <w:t>n</w:t>
      </w:r>
      <w:r w:rsidR="00C0526E">
        <w:t xml:space="preserve"> </w:t>
      </w:r>
      <w:r>
        <w:t xml:space="preserve">the </w:t>
      </w:r>
      <w:r w:rsidR="00F51057">
        <w:t>last 10 years there has been a</w:t>
      </w:r>
      <w:r w:rsidR="00FF4ED8">
        <w:t>n</w:t>
      </w:r>
      <w:r w:rsidR="00F51057">
        <w:t xml:space="preserve"> explosion of new and sophisticated technology</w:t>
      </w:r>
      <w:r w:rsidR="00FF4ED8">
        <w:t xml:space="preserve"> that is enabling radical </w:t>
      </w:r>
      <w:r w:rsidR="00BE207E">
        <w:t xml:space="preserve">transformation </w:t>
      </w:r>
      <w:r w:rsidR="00FF4ED8">
        <w:t xml:space="preserve">in nearly every global industry. </w:t>
      </w:r>
      <w:r w:rsidR="001E2351">
        <w:t xml:space="preserve">More and more we see the application of these tools in every corner of a business from better </w:t>
      </w:r>
      <w:r w:rsidR="00793330">
        <w:t>Sales predictions, to optimizing warehouse locations and inventory</w:t>
      </w:r>
      <w:r w:rsidR="00517A3B">
        <w:t>,</w:t>
      </w:r>
      <w:r w:rsidR="00793330">
        <w:t xml:space="preserve"> to scheduling and deploying service technic</w:t>
      </w:r>
      <w:r w:rsidR="00ED1132">
        <w:t>ians</w:t>
      </w:r>
      <w:r w:rsidR="00793330">
        <w:t xml:space="preserve">. </w:t>
      </w:r>
      <w:r w:rsidR="00ED1132">
        <w:t xml:space="preserve">Conventional wisdom says </w:t>
      </w:r>
      <w:r w:rsidR="002E739B">
        <w:t xml:space="preserve">one of two conditions </w:t>
      </w:r>
      <w:r w:rsidR="00E40B00">
        <w:t xml:space="preserve">are </w:t>
      </w:r>
      <w:r w:rsidR="008E3D64">
        <w:t xml:space="preserve">typically </w:t>
      </w:r>
      <w:r w:rsidR="00E40B00">
        <w:t xml:space="preserve">precursors to </w:t>
      </w:r>
      <w:r w:rsidR="008E3D64">
        <w:t xml:space="preserve">successfully </w:t>
      </w:r>
      <w:r w:rsidR="00E40B00">
        <w:t>launch</w:t>
      </w:r>
      <w:r w:rsidR="008E3D64">
        <w:t xml:space="preserve">ing and realizing the fruits of such “Digital Transformation”. </w:t>
      </w:r>
      <w:r w:rsidR="00D808BD">
        <w:t xml:space="preserve">Either you are a </w:t>
      </w:r>
      <w:r w:rsidR="00C606E1">
        <w:t xml:space="preserve">(1) a </w:t>
      </w:r>
      <w:r w:rsidR="00D808BD">
        <w:t>start-up building from a clean sheet of paper and apply</w:t>
      </w:r>
      <w:r w:rsidR="00A14C6E">
        <w:t>ing</w:t>
      </w:r>
      <w:r w:rsidR="00D808BD">
        <w:t xml:space="preserve"> new tech at the core of your business model or</w:t>
      </w:r>
      <w:r w:rsidR="00C606E1">
        <w:t xml:space="preserve"> (2) </w:t>
      </w:r>
      <w:r w:rsidR="00827CEE">
        <w:t>you have the existing scale</w:t>
      </w:r>
      <w:r w:rsidR="002C2469">
        <w:t xml:space="preserve">, reach, and </w:t>
      </w:r>
      <w:r w:rsidR="00A14C6E">
        <w:t>financial resources</w:t>
      </w:r>
      <w:r w:rsidR="002C2469">
        <w:t xml:space="preserve"> to </w:t>
      </w:r>
      <w:r w:rsidR="00DB52E0">
        <w:t xml:space="preserve">figure it out on your own. For those of us in the </w:t>
      </w:r>
      <w:r w:rsidR="00E96536">
        <w:t>M</w:t>
      </w:r>
      <w:r w:rsidR="00DB52E0">
        <w:t xml:space="preserve">id-Market and </w:t>
      </w:r>
      <w:r w:rsidR="00B142A1">
        <w:t>active in the M&amp;A space</w:t>
      </w:r>
      <w:r w:rsidR="00371757">
        <w:t>,</w:t>
      </w:r>
      <w:r w:rsidR="00B142A1">
        <w:t xml:space="preserve"> where does that leave us? How can we participate in the promise of Digital Transformation</w:t>
      </w:r>
      <w:r w:rsidR="004D4B01">
        <w:t xml:space="preserve"> amid the chaos and challenges of ownership change, carve-outs and TSAs?</w:t>
      </w:r>
      <w:r w:rsidR="00EC6B8F">
        <w:t xml:space="preserve"> Hint: we can’t do it alone.</w:t>
      </w:r>
    </w:p>
    <w:p w14:paraId="3A08606F" w14:textId="5FD7316D" w:rsidR="00061D85" w:rsidRDefault="00390734" w:rsidP="008E182D">
      <w:pPr>
        <w:pStyle w:val="Heading1"/>
      </w:pPr>
      <w:r>
        <w:t>High Expectations</w:t>
      </w:r>
    </w:p>
    <w:p w14:paraId="0FFC9B84" w14:textId="2A54C442" w:rsidR="00395CBF" w:rsidRDefault="0080456C">
      <w:pPr>
        <w:pStyle w:val="BodyTextIndent2"/>
        <w:ind w:firstLine="187"/>
        <w:jc w:val="both"/>
      </w:pPr>
      <w:r>
        <w:t xml:space="preserve">When our firm was founded 10 years ago </w:t>
      </w:r>
      <w:r w:rsidR="00F9686E">
        <w:t>a</w:t>
      </w:r>
      <w:r>
        <w:t xml:space="preserve"> fundamental premise </w:t>
      </w:r>
      <w:r w:rsidR="00F9686E">
        <w:t xml:space="preserve">was </w:t>
      </w:r>
      <w:r w:rsidR="003F17BD">
        <w:t>established</w:t>
      </w:r>
      <w:r w:rsidR="00F9686E">
        <w:t>: we must drive operating improvements in the business to realize our investment goals.</w:t>
      </w:r>
      <w:r w:rsidR="003F17BD">
        <w:t xml:space="preserve"> That simple </w:t>
      </w:r>
      <w:r w:rsidR="001210FE">
        <w:t>notion</w:t>
      </w:r>
      <w:r w:rsidR="003F17BD">
        <w:t xml:space="preserve"> has </w:t>
      </w:r>
      <w:r w:rsidR="00970F2E">
        <w:t xml:space="preserve">grown to </w:t>
      </w:r>
      <w:r w:rsidR="001210FE">
        <w:t>embrace</w:t>
      </w:r>
      <w:r w:rsidR="00970F2E">
        <w:t xml:space="preserve"> IT and Digital Transformation</w:t>
      </w:r>
      <w:r w:rsidR="00F9686E">
        <w:t xml:space="preserve"> </w:t>
      </w:r>
      <w:r w:rsidR="007F5214">
        <w:t>- areas that m</w:t>
      </w:r>
      <w:r w:rsidR="001210FE">
        <w:t>any</w:t>
      </w:r>
      <w:r w:rsidR="007F5214">
        <w:t xml:space="preserve"> corporate strategists would have </w:t>
      </w:r>
      <w:r w:rsidR="001210FE">
        <w:t xml:space="preserve">downplayed or largely avoided </w:t>
      </w:r>
      <w:r w:rsidR="00B53C38">
        <w:t xml:space="preserve">just a few years ago. </w:t>
      </w:r>
      <w:r w:rsidR="00386510">
        <w:t>Fortunately</w:t>
      </w:r>
      <w:r w:rsidR="0010016B">
        <w:t>,</w:t>
      </w:r>
      <w:r w:rsidR="00386510">
        <w:t xml:space="preserve"> these disciplines are now on the map</w:t>
      </w:r>
      <w:r w:rsidR="00DC5A50">
        <w:t xml:space="preserve">, given the </w:t>
      </w:r>
      <w:proofErr w:type="gramStart"/>
      <w:r w:rsidR="00DC5A50">
        <w:t>high</w:t>
      </w:r>
      <w:r w:rsidR="00DC353D">
        <w:t xml:space="preserve"> </w:t>
      </w:r>
      <w:r w:rsidR="00DC5A50">
        <w:t>profile</w:t>
      </w:r>
      <w:proofErr w:type="gramEnd"/>
      <w:r w:rsidR="00DC5A50">
        <w:t xml:space="preserve"> successes of early adopters</w:t>
      </w:r>
      <w:r w:rsidR="00196A5A">
        <w:t>. I</w:t>
      </w:r>
      <w:r w:rsidR="00386510">
        <w:t xml:space="preserve">t is </w:t>
      </w:r>
      <w:r w:rsidR="00196A5A">
        <w:t xml:space="preserve">now </w:t>
      </w:r>
      <w:r w:rsidR="00763D16">
        <w:t xml:space="preserve">incumbent </w:t>
      </w:r>
      <w:r w:rsidR="00B37C54">
        <w:t>upon</w:t>
      </w:r>
      <w:r w:rsidR="00196A5A">
        <w:t xml:space="preserve"> </w:t>
      </w:r>
      <w:r w:rsidR="00386510">
        <w:t xml:space="preserve">IT Leadership </w:t>
      </w:r>
      <w:r w:rsidR="00FB04BF">
        <w:t xml:space="preserve">in every </w:t>
      </w:r>
      <w:r w:rsidR="00050B02">
        <w:t>industry</w:t>
      </w:r>
      <w:r w:rsidR="00FB04BF">
        <w:t xml:space="preserve"> </w:t>
      </w:r>
      <w:r w:rsidR="00763D16">
        <w:t xml:space="preserve">to </w:t>
      </w:r>
      <w:r w:rsidR="00DC5A50">
        <w:t xml:space="preserve">set and achieve </w:t>
      </w:r>
      <w:r w:rsidR="00065BCC">
        <w:t>ambitious goals</w:t>
      </w:r>
      <w:r w:rsidR="00763D16">
        <w:t xml:space="preserve">, </w:t>
      </w:r>
      <w:r w:rsidR="00FB04BF">
        <w:t xml:space="preserve">just </w:t>
      </w:r>
      <w:r w:rsidR="00763D16">
        <w:t xml:space="preserve">like every other business function, </w:t>
      </w:r>
      <w:r w:rsidR="00065BCC">
        <w:t xml:space="preserve">to play </w:t>
      </w:r>
      <w:r w:rsidR="00FB04BF">
        <w:t>its</w:t>
      </w:r>
      <w:r w:rsidR="00065BCC">
        <w:t xml:space="preserve"> part in </w:t>
      </w:r>
      <w:r w:rsidR="00395CBF">
        <w:t xml:space="preserve">the </w:t>
      </w:r>
      <w:r w:rsidR="0010016B">
        <w:t xml:space="preserve">Enterprise Value </w:t>
      </w:r>
      <w:r w:rsidR="008F5A6B">
        <w:t xml:space="preserve">creation </w:t>
      </w:r>
      <w:r w:rsidR="00395CBF">
        <w:t>formula.</w:t>
      </w:r>
    </w:p>
    <w:p w14:paraId="371173AB" w14:textId="338F49CE" w:rsidR="00A15A53" w:rsidRDefault="00A15A53">
      <w:pPr>
        <w:pStyle w:val="BodyTextIndent2"/>
        <w:ind w:firstLine="187"/>
        <w:jc w:val="both"/>
      </w:pPr>
    </w:p>
    <w:p w14:paraId="77E021EE" w14:textId="77777777" w:rsidR="00B7566E" w:rsidRDefault="00DD5374">
      <w:pPr>
        <w:pStyle w:val="BodyTextIndent2"/>
        <w:ind w:firstLine="187"/>
        <w:jc w:val="both"/>
      </w:pPr>
      <w:r>
        <w:t xml:space="preserve">In our investment </w:t>
      </w:r>
      <w:r w:rsidR="00F657F6">
        <w:t>framework</w:t>
      </w:r>
      <w:r>
        <w:t xml:space="preserve"> </w:t>
      </w:r>
      <w:r w:rsidR="00F657F6">
        <w:t xml:space="preserve">we set four strategic goals for </w:t>
      </w:r>
      <w:r w:rsidR="00913805">
        <w:t>IT</w:t>
      </w:r>
      <w:r w:rsidR="00F657F6">
        <w:t xml:space="preserve"> at </w:t>
      </w:r>
      <w:r w:rsidR="00266C10">
        <w:t xml:space="preserve">the front end of every </w:t>
      </w:r>
      <w:r w:rsidR="00F657F6">
        <w:t xml:space="preserve">investment. </w:t>
      </w:r>
      <w:r w:rsidR="00913805">
        <w:t xml:space="preserve"> </w:t>
      </w:r>
      <w:r w:rsidR="00E25283">
        <w:t>Each of these goals</w:t>
      </w:r>
      <w:r w:rsidR="0057132E">
        <w:t xml:space="preserve"> </w:t>
      </w:r>
      <w:r w:rsidR="000D7580">
        <w:t xml:space="preserve">plays a specific role in Enterprise Value creation, faces their own set of challenges, and requires a tailored </w:t>
      </w:r>
      <w:r w:rsidR="00657CBA">
        <w:t xml:space="preserve">response that considers factors such as inherited IT staff/skills, timing of Transfer of Services Agreements (TSAs), the </w:t>
      </w:r>
      <w:r w:rsidR="006C6ADA">
        <w:t xml:space="preserve">business growth and productivity strategies, and the anticipated hold period. In every instance we seek out </w:t>
      </w:r>
      <w:r w:rsidR="001073E1">
        <w:t xml:space="preserve">partners from our proven ecosystem </w:t>
      </w:r>
      <w:r w:rsidR="00F60EFE">
        <w:t>that p</w:t>
      </w:r>
      <w:r w:rsidR="001073E1">
        <w:t>ossess the skills, experience, and urgency we</w:t>
      </w:r>
      <w:r w:rsidR="00F60EFE">
        <w:t xml:space="preserve"> require. </w:t>
      </w:r>
      <w:r w:rsidR="00412245">
        <w:t xml:space="preserve">Importantly, in the mid-market we must </w:t>
      </w:r>
      <w:r w:rsidR="00DC6E03">
        <w:t xml:space="preserve">be conscious </w:t>
      </w:r>
      <w:r w:rsidR="000808A9">
        <w:t xml:space="preserve">of the </w:t>
      </w:r>
      <w:r w:rsidR="00654391">
        <w:t xml:space="preserve">traditional trade-offs between financial investments and derived value. This often leads to </w:t>
      </w:r>
      <w:r w:rsidR="00025E13">
        <w:t xml:space="preserve">a headset of compromise between cost and suitability for a job. A promising development is the emergence </w:t>
      </w:r>
      <w:r w:rsidR="0058607D">
        <w:t xml:space="preserve">of platform and services companies who are looking to credibly fill </w:t>
      </w:r>
      <w:r w:rsidR="00955A1D">
        <w:t xml:space="preserve">the </w:t>
      </w:r>
      <w:r w:rsidR="0058607D">
        <w:t>more strategic roles</w:t>
      </w:r>
      <w:r w:rsidR="00955A1D">
        <w:t xml:space="preserve"> that critically often define a direction and can lock in long term consequences. </w:t>
      </w:r>
      <w:r w:rsidR="003D3B3C">
        <w:t xml:space="preserve">Having a trusted </w:t>
      </w:r>
      <w:r w:rsidR="003A0358">
        <w:t xml:space="preserve">and experienced </w:t>
      </w:r>
      <w:r w:rsidR="003D3B3C">
        <w:t xml:space="preserve">partner who is engaged very early in your lifecycle can help you avoid </w:t>
      </w:r>
      <w:r w:rsidR="003A0358">
        <w:t>the risks lying around the corner.</w:t>
      </w:r>
      <w:r w:rsidR="00B94605">
        <w:t xml:space="preserve"> With our focus on chemicals/materials, manufacturing, and distribution we </w:t>
      </w:r>
      <w:r w:rsidR="00044DEE">
        <w:t>often are naturally drawn to SAP as a platform company but are encouraged that the</w:t>
      </w:r>
      <w:r w:rsidR="00A9211D">
        <w:t>ir</w:t>
      </w:r>
      <w:r w:rsidR="00044DEE">
        <w:t xml:space="preserve"> focus on </w:t>
      </w:r>
      <w:r w:rsidR="00A9211D">
        <w:t xml:space="preserve">the </w:t>
      </w:r>
      <w:r w:rsidR="00044DEE">
        <w:t>mid-mar</w:t>
      </w:r>
      <w:r w:rsidR="00A9211D">
        <w:t xml:space="preserve">ket </w:t>
      </w:r>
      <w:r w:rsidR="003567FF">
        <w:t>is leading to the creation of a more engaged and inte</w:t>
      </w:r>
      <w:r w:rsidR="0099668E">
        <w:t xml:space="preserve">grated </w:t>
      </w:r>
      <w:r w:rsidR="003567FF">
        <w:t>ecosystem who can more effectively participate in the higher level and more strate</w:t>
      </w:r>
      <w:r w:rsidR="0099668E">
        <w:t>g</w:t>
      </w:r>
      <w:r w:rsidR="003567FF">
        <w:t xml:space="preserve">ic elements </w:t>
      </w:r>
      <w:r w:rsidR="0099668E">
        <w:t>of positioning and architecture.</w:t>
      </w:r>
      <w:r w:rsidR="00E81020">
        <w:t xml:space="preserve"> </w:t>
      </w:r>
    </w:p>
    <w:p w14:paraId="6BF98FFB" w14:textId="77777777" w:rsidR="00B7566E" w:rsidRDefault="00B7566E">
      <w:pPr>
        <w:pStyle w:val="BodyTextIndent2"/>
        <w:ind w:firstLine="187"/>
        <w:jc w:val="both"/>
      </w:pPr>
    </w:p>
    <w:p w14:paraId="775AE9C3" w14:textId="1F25913F" w:rsidR="00971FEF" w:rsidRPr="008C7B95" w:rsidRDefault="00D97514">
      <w:pPr>
        <w:pStyle w:val="BodyTextIndent2"/>
        <w:ind w:firstLine="187"/>
        <w:jc w:val="both"/>
      </w:pPr>
      <w:r w:rsidRPr="008C7B95">
        <w:t xml:space="preserve">The integrated ecosystem </w:t>
      </w:r>
      <w:r w:rsidR="00C25764" w:rsidRPr="008C7B95">
        <w:t>referenced</w:t>
      </w:r>
      <w:r w:rsidRPr="008C7B95">
        <w:t xml:space="preserve"> here is known as the </w:t>
      </w:r>
      <w:r w:rsidR="00B7566E" w:rsidRPr="008C7B95">
        <w:t xml:space="preserve">SAP </w:t>
      </w:r>
      <w:r w:rsidRPr="008C7B95">
        <w:t xml:space="preserve">M&amp;A Ambassador </w:t>
      </w:r>
      <w:r w:rsidR="00B7566E" w:rsidRPr="008C7B95">
        <w:t>P</w:t>
      </w:r>
      <w:r w:rsidRPr="008C7B95">
        <w:t>rogram. SAP’s M&amp;A Ambassador</w:t>
      </w:r>
      <w:r w:rsidR="00B7566E" w:rsidRPr="008C7B95">
        <w:t xml:space="preserve"> P</w:t>
      </w:r>
      <w:r w:rsidRPr="008C7B95">
        <w:t>rogram is a consortium between SAP and their ecosystem partners</w:t>
      </w:r>
      <w:r w:rsidR="00100B0B" w:rsidRPr="008C7B95">
        <w:t>,</w:t>
      </w:r>
      <w:r w:rsidRPr="008C7B95">
        <w:t xml:space="preserve"> built to drive value for Private Equity funds and portfolio companies. </w:t>
      </w:r>
      <w:r w:rsidR="00C25764" w:rsidRPr="008C7B95">
        <w:t>An example of</w:t>
      </w:r>
      <w:r w:rsidR="00971FEF" w:rsidRPr="008C7B95">
        <w:t xml:space="preserve"> how this program has created</w:t>
      </w:r>
      <w:r w:rsidR="00C25764" w:rsidRPr="008C7B95">
        <w:t xml:space="preserve"> value during an M&amp;A event </w:t>
      </w:r>
      <w:r w:rsidR="00971FEF" w:rsidRPr="008C7B95">
        <w:t xml:space="preserve">was evidenced during </w:t>
      </w:r>
      <w:r w:rsidR="00C25764" w:rsidRPr="008C7B95">
        <w:t xml:space="preserve">a </w:t>
      </w:r>
      <w:r w:rsidR="00971FEF" w:rsidRPr="008C7B95">
        <w:t xml:space="preserve">recent </w:t>
      </w:r>
      <w:r w:rsidR="00C25764" w:rsidRPr="008C7B95">
        <w:t>carve out of a chemical company</w:t>
      </w:r>
      <w:r w:rsidR="006B11A4" w:rsidRPr="008C7B95">
        <w:t>,</w:t>
      </w:r>
      <w:r w:rsidR="00C25764" w:rsidRPr="008C7B95">
        <w:t xml:space="preserve"> which had </w:t>
      </w:r>
      <w:r w:rsidR="00B7566E" w:rsidRPr="008C7B95">
        <w:t xml:space="preserve">complicated processes </w:t>
      </w:r>
      <w:r w:rsidR="006B11A4" w:rsidRPr="008C7B95">
        <w:t xml:space="preserve">that </w:t>
      </w:r>
      <w:r w:rsidR="00C25764" w:rsidRPr="008C7B95">
        <w:t xml:space="preserve">didn’t fit the new </w:t>
      </w:r>
      <w:r w:rsidR="00B7566E" w:rsidRPr="008C7B95">
        <w:t>business</w:t>
      </w:r>
      <w:r w:rsidR="00C25764" w:rsidRPr="008C7B95">
        <w:t xml:space="preserve"> operating model.</w:t>
      </w:r>
    </w:p>
    <w:p w14:paraId="75F5F17E" w14:textId="774D4D7B" w:rsidR="00C25764" w:rsidRPr="008C7B95" w:rsidRDefault="0021223F">
      <w:pPr>
        <w:pStyle w:val="BodyTextIndent2"/>
        <w:ind w:firstLine="187"/>
        <w:jc w:val="both"/>
      </w:pPr>
      <w:r w:rsidRPr="008C7B95">
        <w:t>Since no TSAs were offered for this investment, an aggressive SAP deployment was required to fit in the Sign to Close period of 5 months. To deliver this outcome</w:t>
      </w:r>
      <w:r w:rsidR="006B11A4" w:rsidRPr="008C7B95">
        <w:t>,</w:t>
      </w:r>
      <w:r w:rsidRPr="008C7B95">
        <w:t xml:space="preserve"> I relied on an extensive set of consultations and services offered by members of the Program. </w:t>
      </w:r>
      <w:r w:rsidR="00B7566E" w:rsidRPr="008C7B95">
        <w:t xml:space="preserve">Additionally, I saw the benefit of incorporating a known data </w:t>
      </w:r>
      <w:r w:rsidR="00971FEF" w:rsidRPr="008C7B95">
        <w:t xml:space="preserve">model </w:t>
      </w:r>
      <w:r w:rsidR="006B11A4" w:rsidRPr="008C7B95">
        <w:t xml:space="preserve">and </w:t>
      </w:r>
      <w:r w:rsidR="00B7566E" w:rsidRPr="008C7B95">
        <w:t xml:space="preserve">following SAP Best Practices for Chemicals. </w:t>
      </w:r>
      <w:r w:rsidR="00C25764" w:rsidRPr="008C7B95">
        <w:t xml:space="preserve">The SAP M&amp;A Ambassador program gave me </w:t>
      </w:r>
      <w:r w:rsidR="00971FEF" w:rsidRPr="008C7B95">
        <w:t xml:space="preserve">the ability to find and select a system integrator and deploy a modern ERP system, SAP S/4HANA. </w:t>
      </w:r>
    </w:p>
    <w:p w14:paraId="5A04D1A3" w14:textId="633429F1" w:rsidR="00713F99" w:rsidRDefault="0043476A" w:rsidP="00713F99">
      <w:pPr>
        <w:pStyle w:val="Heading2"/>
        <w:numPr>
          <w:ilvl w:val="1"/>
          <w:numId w:val="23"/>
        </w:numPr>
      </w:pPr>
      <w:r>
        <w:t xml:space="preserve">Position </w:t>
      </w:r>
      <w:r w:rsidRPr="00D1002C">
        <w:t xml:space="preserve">the Company as a </w:t>
      </w:r>
      <w:r w:rsidR="00053C46" w:rsidRPr="00D1002C">
        <w:t xml:space="preserve">Digital </w:t>
      </w:r>
      <w:r w:rsidR="009B2F75" w:rsidRPr="00D1002C">
        <w:t xml:space="preserve">Innovation </w:t>
      </w:r>
      <w:r w:rsidR="009B2F75">
        <w:t>Leader</w:t>
      </w:r>
    </w:p>
    <w:p w14:paraId="53EB53CC" w14:textId="6C45CDA5" w:rsidR="003F4DC7" w:rsidRDefault="00890DA4" w:rsidP="007E370C">
      <w:pPr>
        <w:pStyle w:val="BodyTextIndent2"/>
        <w:ind w:firstLine="187"/>
        <w:jc w:val="both"/>
      </w:pPr>
      <w:r>
        <w:t>From a top</w:t>
      </w:r>
      <w:r w:rsidR="006917AB">
        <w:t>-</w:t>
      </w:r>
      <w:r>
        <w:t>down perspective</w:t>
      </w:r>
      <w:r w:rsidR="00053C46">
        <w:t xml:space="preserve"> there is nothing more attractive than to have your company viewed as </w:t>
      </w:r>
      <w:r w:rsidR="002D1351">
        <w:t>an innovator. You attract great people, have partners begging to work with you</w:t>
      </w:r>
      <w:r w:rsidR="00B2341A">
        <w:t>,</w:t>
      </w:r>
      <w:r w:rsidR="002D1351">
        <w:t xml:space="preserve"> and often enjoy superior margin</w:t>
      </w:r>
      <w:r w:rsidR="00DE2055">
        <w:t>s. Goal # 1 in our IT Transformation is to identify and deliver digital transformation</w:t>
      </w:r>
      <w:r w:rsidR="00714029">
        <w:t>,</w:t>
      </w:r>
      <w:r w:rsidR="00DE2055">
        <w:t xml:space="preserve"> or </w:t>
      </w:r>
      <w:r w:rsidR="00A91B6D">
        <w:t>targeted digital enablement</w:t>
      </w:r>
      <w:r w:rsidR="00714029">
        <w:t>,</w:t>
      </w:r>
      <w:r w:rsidR="00A91B6D">
        <w:t xml:space="preserve"> that </w:t>
      </w:r>
      <w:r w:rsidR="00DD13E9">
        <w:t xml:space="preserve">positions our firms as </w:t>
      </w:r>
      <w:r w:rsidR="00401103">
        <w:t>d</w:t>
      </w:r>
      <w:r w:rsidR="00DD13E9">
        <w:t>igital leaders</w:t>
      </w:r>
      <w:r w:rsidR="00401103">
        <w:t>.</w:t>
      </w:r>
      <w:r w:rsidR="00DD13E9">
        <w:t xml:space="preserve"> </w:t>
      </w:r>
      <w:r w:rsidR="0020771A">
        <w:t xml:space="preserve">Given these are central </w:t>
      </w:r>
      <w:r w:rsidR="00532DD2">
        <w:t xml:space="preserve">to </w:t>
      </w:r>
      <w:r w:rsidR="0020771A">
        <w:t xml:space="preserve">the </w:t>
      </w:r>
      <w:r w:rsidR="00366C21">
        <w:t>future</w:t>
      </w:r>
      <w:r w:rsidR="0020771A">
        <w:t xml:space="preserve"> of the business, IT must find w</w:t>
      </w:r>
      <w:r w:rsidR="005A1E04">
        <w:t xml:space="preserve">ays to effectively introduce the potential of applying </w:t>
      </w:r>
      <w:r w:rsidR="009F53BB">
        <w:t xml:space="preserve">these new </w:t>
      </w:r>
      <w:r w:rsidR="005A1E04">
        <w:t>technologies</w:t>
      </w:r>
      <w:r w:rsidR="009F53BB">
        <w:t xml:space="preserve">. In the mid-market, and especially in carve-outs where </w:t>
      </w:r>
      <w:r w:rsidR="00FD0FFC">
        <w:t>senior IT leadership</w:t>
      </w:r>
      <w:r w:rsidR="0013715B">
        <w:t xml:space="preserve"> may</w:t>
      </w:r>
      <w:r w:rsidR="00FD0FFC">
        <w:t xml:space="preserve"> not convey with the deal, we </w:t>
      </w:r>
      <w:r w:rsidR="00FD0FFC">
        <w:lastRenderedPageBreak/>
        <w:t xml:space="preserve">leverage partners </w:t>
      </w:r>
      <w:r w:rsidR="0013715B" w:rsidRPr="005A171C">
        <w:t>like Pw</w:t>
      </w:r>
      <w:r w:rsidR="0023577E" w:rsidRPr="005A171C">
        <w:t>C</w:t>
      </w:r>
      <w:r w:rsidR="0013715B" w:rsidRPr="005A171C">
        <w:t xml:space="preserve"> and EY </w:t>
      </w:r>
      <w:r w:rsidR="00FD0FFC" w:rsidRPr="005A171C">
        <w:t>who</w:t>
      </w:r>
      <w:r w:rsidR="00FD0FFC">
        <w:t xml:space="preserve"> bring the industry knowledge, </w:t>
      </w:r>
      <w:r w:rsidR="00035209">
        <w:t xml:space="preserve">executive presence, and credibility </w:t>
      </w:r>
      <w:r w:rsidR="00736E5F">
        <w:t xml:space="preserve">we need to open those doors. Their </w:t>
      </w:r>
      <w:r w:rsidR="00DD3618">
        <w:t xml:space="preserve">strategic </w:t>
      </w:r>
      <w:r w:rsidR="00736E5F">
        <w:t>engagement with SAP</w:t>
      </w:r>
      <w:r w:rsidR="00D97514">
        <w:t xml:space="preserve"> through the </w:t>
      </w:r>
      <w:r w:rsidR="00D97514" w:rsidRPr="008C7B95">
        <w:t>M&amp;A Ambassador program</w:t>
      </w:r>
      <w:r w:rsidR="00736E5F" w:rsidRPr="008C7B95">
        <w:t xml:space="preserve"> </w:t>
      </w:r>
      <w:r w:rsidR="00DD3618">
        <w:t xml:space="preserve">is a </w:t>
      </w:r>
      <w:r w:rsidR="00D336D1">
        <w:t>strong plus</w:t>
      </w:r>
      <w:r w:rsidR="00510D5E">
        <w:t xml:space="preserve"> since they can help vet the realism for such advanced, tech-centric strategies.</w:t>
      </w:r>
      <w:r w:rsidR="007E370C">
        <w:t xml:space="preserve"> </w:t>
      </w:r>
      <w:r w:rsidR="007E370C" w:rsidRPr="008C7B95">
        <w:t>SAP will at times also call on internal strategic consulting resources who are an integrated part of the M&amp;A Ambassador program offering.</w:t>
      </w:r>
    </w:p>
    <w:p w14:paraId="58C07355" w14:textId="2A1358A9" w:rsidR="00747ABC" w:rsidRPr="008C7B95" w:rsidRDefault="00DD1821" w:rsidP="009B2F75">
      <w:pPr>
        <w:pStyle w:val="Heading2"/>
        <w:numPr>
          <w:ilvl w:val="1"/>
          <w:numId w:val="23"/>
        </w:numPr>
        <w:rPr>
          <w:i w:val="0"/>
          <w:iCs w:val="0"/>
        </w:rPr>
      </w:pPr>
      <w:r w:rsidRPr="008C7B95">
        <w:rPr>
          <w:i w:val="0"/>
          <w:iCs w:val="0"/>
        </w:rPr>
        <w:t>Position IT as a Value-Creation Engine in the Business</w:t>
      </w:r>
    </w:p>
    <w:p w14:paraId="292EAA93" w14:textId="7CAA8342" w:rsidR="0009268A" w:rsidRPr="008C7B95" w:rsidRDefault="00035209" w:rsidP="00AE0EBA">
      <w:pPr>
        <w:pStyle w:val="BodyTextIndent3"/>
      </w:pPr>
      <w:r>
        <w:t xml:space="preserve">A second crucial component in successfully </w:t>
      </w:r>
      <w:r w:rsidR="00CB51A8">
        <w:t>delivering on the promise of digital</w:t>
      </w:r>
      <w:r w:rsidR="002D55B5">
        <w:t xml:space="preserve"> </w:t>
      </w:r>
      <w:r w:rsidR="00F71210">
        <w:t>is to effectively position IT as a value creation engine. IT has been chasing th</w:t>
      </w:r>
      <w:r w:rsidR="00CC1DA8">
        <w:t>is</w:t>
      </w:r>
      <w:r w:rsidR="00F71210">
        <w:t xml:space="preserve"> elusive goal for years and </w:t>
      </w:r>
      <w:r w:rsidR="00CC1DA8">
        <w:t xml:space="preserve">to be sure </w:t>
      </w:r>
      <w:r w:rsidR="00F71210">
        <w:t xml:space="preserve">there are many success stories. </w:t>
      </w:r>
      <w:r w:rsidR="00CC1DA8">
        <w:t xml:space="preserve">Figure 1 depicts the </w:t>
      </w:r>
      <w:r w:rsidR="0095200E">
        <w:t xml:space="preserve">journey many </w:t>
      </w:r>
      <w:r w:rsidR="004D0AA3">
        <w:t xml:space="preserve">IT organizations </w:t>
      </w:r>
      <w:r w:rsidR="00946B7C">
        <w:t>have started</w:t>
      </w:r>
      <w:r w:rsidR="004E7018">
        <w:t xml:space="preserve">. </w:t>
      </w:r>
      <w:r w:rsidR="005D7E10">
        <w:t xml:space="preserve">Intentionally migrating </w:t>
      </w:r>
      <w:r w:rsidR="003A7CA1">
        <w:t xml:space="preserve">their focus </w:t>
      </w:r>
      <w:r w:rsidR="0095200E">
        <w:t xml:space="preserve">from </w:t>
      </w:r>
      <w:r w:rsidR="00AA0DF6">
        <w:t>a</w:t>
      </w:r>
      <w:r w:rsidR="0033649D">
        <w:t xml:space="preserve"> Tech</w:t>
      </w:r>
      <w:r w:rsidR="0095200E">
        <w:t>-</w:t>
      </w:r>
      <w:r w:rsidR="003A7CA1">
        <w:t xml:space="preserve">based </w:t>
      </w:r>
      <w:r w:rsidR="0033649D">
        <w:t>service provider to a value creator</w:t>
      </w:r>
      <w:r w:rsidR="005D7E10">
        <w:t xml:space="preserve"> creates new opportunities for </w:t>
      </w:r>
      <w:r w:rsidR="0033649D">
        <w:t>business, customer</w:t>
      </w:r>
      <w:r w:rsidR="003317FF">
        <w:t xml:space="preserve">, </w:t>
      </w:r>
      <w:r w:rsidR="009525BF">
        <w:t xml:space="preserve">and </w:t>
      </w:r>
      <w:r w:rsidR="0033649D">
        <w:t>industry</w:t>
      </w:r>
      <w:r w:rsidR="00795557">
        <w:t xml:space="preserve">-based </w:t>
      </w:r>
      <w:r w:rsidR="009525BF">
        <w:t>opportunities</w:t>
      </w:r>
      <w:r w:rsidR="0033649D">
        <w:t xml:space="preserve">. </w:t>
      </w:r>
      <w:r w:rsidR="00286487">
        <w:t>The biggest challenge in this space is to get IT to see itself through a lens of value creation then build the disciplines of measuring and realizing customer value.</w:t>
      </w:r>
      <w:r w:rsidR="00FF1505">
        <w:t xml:space="preserve"> In these scenarios we often </w:t>
      </w:r>
      <w:r w:rsidR="00101E20">
        <w:t>loo</w:t>
      </w:r>
      <w:r w:rsidR="00FF1505">
        <w:t>k to our own IT service providers</w:t>
      </w:r>
      <w:r w:rsidR="00F669CF">
        <w:t xml:space="preserve"> including </w:t>
      </w:r>
      <w:r w:rsidR="00D97514" w:rsidRPr="008C7B95">
        <w:t>SAP</w:t>
      </w:r>
      <w:r w:rsidR="00F669CF" w:rsidRPr="008C7B95">
        <w:t xml:space="preserve"> and </w:t>
      </w:r>
      <w:r w:rsidR="00D97514" w:rsidRPr="008C7B95">
        <w:t xml:space="preserve">NTT Data </w:t>
      </w:r>
      <w:r w:rsidR="006B11A4" w:rsidRPr="008C7B95">
        <w:t xml:space="preserve">Business Solutions </w:t>
      </w:r>
      <w:r w:rsidR="00F669CF">
        <w:t xml:space="preserve">for </w:t>
      </w:r>
      <w:r w:rsidR="00C73A0A">
        <w:t>i</w:t>
      </w:r>
      <w:r w:rsidR="00F669CF">
        <w:t>nspiration and best practices at quantifying and delivering business value</w:t>
      </w:r>
      <w:r w:rsidR="00E70C7B">
        <w:t>.</w:t>
      </w:r>
    </w:p>
    <w:p w14:paraId="14CCBF20" w14:textId="43673B5C" w:rsidR="00952CBF" w:rsidRDefault="00AA4066" w:rsidP="008B5B52">
      <w:pPr>
        <w:pStyle w:val="BodyTextIndent3"/>
        <w:ind w:firstLine="0"/>
      </w:pPr>
      <w:r w:rsidRPr="00100B0B">
        <w:rPr>
          <w:i/>
          <w:iCs/>
          <w:color w:val="4472C4" w:themeColor="accent1"/>
        </w:rPr>
        <w:t xml:space="preserve"> </w:t>
      </w:r>
      <w:r w:rsidR="00C450E2" w:rsidRPr="00E10C7E">
        <w:rPr>
          <w:noProof/>
        </w:rPr>
        <w:drawing>
          <wp:inline distT="0" distB="0" distL="0" distR="0" wp14:anchorId="6A5D1F72" wp14:editId="291D3D58">
            <wp:extent cx="3200400" cy="592455"/>
            <wp:effectExtent l="0" t="0" r="0" b="0"/>
            <wp:docPr id="1" name="Picture 1" descr="Text, time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 timeline&#10;&#10;Description automatically generated"/>
                    <pic:cNvPicPr/>
                  </pic:nvPicPr>
                  <pic:blipFill>
                    <a:blip r:embed="rId8"/>
                    <a:stretch>
                      <a:fillRect/>
                    </a:stretch>
                  </pic:blipFill>
                  <pic:spPr>
                    <a:xfrm>
                      <a:off x="0" y="0"/>
                      <a:ext cx="3200400" cy="592455"/>
                    </a:xfrm>
                    <a:prstGeom prst="rect">
                      <a:avLst/>
                    </a:prstGeom>
                  </pic:spPr>
                </pic:pic>
              </a:graphicData>
            </a:graphic>
          </wp:inline>
        </w:drawing>
      </w:r>
    </w:p>
    <w:p w14:paraId="632FFF7A" w14:textId="77777777" w:rsidR="00C450E2" w:rsidRDefault="00C450E2" w:rsidP="00C450E2">
      <w:pPr>
        <w:jc w:val="center"/>
      </w:pPr>
      <w:r>
        <w:t>Figure 1. Re-Positioning IT for Value Creation</w:t>
      </w:r>
    </w:p>
    <w:p w14:paraId="2DE019D4" w14:textId="3943F98D" w:rsidR="0022063B" w:rsidRPr="00C7362C" w:rsidRDefault="0022063B" w:rsidP="00AE0EBA">
      <w:pPr>
        <w:pStyle w:val="BodyTextIndent3"/>
      </w:pPr>
    </w:p>
    <w:p w14:paraId="30D76E32" w14:textId="0954459C" w:rsidR="0022063B" w:rsidRPr="00C7362C" w:rsidRDefault="0022063B" w:rsidP="0022063B">
      <w:pPr>
        <w:pStyle w:val="Heading2"/>
        <w:numPr>
          <w:ilvl w:val="1"/>
          <w:numId w:val="23"/>
        </w:numPr>
      </w:pPr>
      <w:r w:rsidRPr="00C7362C">
        <w:t xml:space="preserve">Establish an Enterprise Architecture </w:t>
      </w:r>
      <w:r w:rsidR="00741625" w:rsidRPr="00C7362C">
        <w:t>that can support a Dynamic Operating Model</w:t>
      </w:r>
    </w:p>
    <w:p w14:paraId="3714B7AE" w14:textId="5EE74E1C" w:rsidR="0022063B" w:rsidRDefault="00E70C7B" w:rsidP="0022063B">
      <w:pPr>
        <w:pStyle w:val="BodyTextIndent3"/>
      </w:pPr>
      <w:r w:rsidRPr="00C7362C">
        <w:t xml:space="preserve">A third key objective for IT is to design and deploy an Enterprise Architecture </w:t>
      </w:r>
      <w:r w:rsidR="00060AE5" w:rsidRPr="00C7362C">
        <w:t>that empowers today’s highly dynamic Operating Models</w:t>
      </w:r>
      <w:r w:rsidR="008D0526" w:rsidRPr="00C7362C">
        <w:t>. Our reference approach, titled “</w:t>
      </w:r>
      <w:r w:rsidR="0022063B" w:rsidRPr="00C7362C">
        <w:t>Smart Operations</w:t>
      </w:r>
      <w:r w:rsidR="008D0526" w:rsidRPr="00C7362C">
        <w:t xml:space="preserve">”, </w:t>
      </w:r>
      <w:r w:rsidR="00643DAA" w:rsidRPr="00C7362C">
        <w:t xml:space="preserve">leverages core </w:t>
      </w:r>
      <w:r w:rsidR="00643DAA">
        <w:t>transactional, analytical, planning, execution, and process management platforms</w:t>
      </w:r>
      <w:r w:rsidR="00557C70">
        <w:t xml:space="preserve"> </w:t>
      </w:r>
      <w:r w:rsidR="00643DAA">
        <w:t xml:space="preserve">in a highly integrated </w:t>
      </w:r>
      <w:r w:rsidR="00714342">
        <w:t xml:space="preserve">architecture. </w:t>
      </w:r>
      <w:r w:rsidR="008675C0">
        <w:t xml:space="preserve">Our biggest challenge here is simply the breadth and depth of expertise and experience </w:t>
      </w:r>
      <w:r w:rsidR="00774180">
        <w:t xml:space="preserve">required across </w:t>
      </w:r>
      <w:r w:rsidR="008675C0">
        <w:t>multiple</w:t>
      </w:r>
      <w:r w:rsidR="00774180">
        <w:t xml:space="preserve"> disciplines. In many mid-market scenarios</w:t>
      </w:r>
      <w:r w:rsidR="00104CCE">
        <w:t>,</w:t>
      </w:r>
      <w:r w:rsidR="00774180">
        <w:t xml:space="preserve"> we </w:t>
      </w:r>
      <w:r w:rsidR="000C703C">
        <w:t>don’t inherit the IT experience base to lead such a</w:t>
      </w:r>
      <w:r w:rsidR="001B6C5E">
        <w:t xml:space="preserve"> complex </w:t>
      </w:r>
      <w:r w:rsidR="00C045B6">
        <w:t>program</w:t>
      </w:r>
      <w:r w:rsidR="001B6C5E">
        <w:t xml:space="preserve"> and it is critical to leverage a network of leading partners</w:t>
      </w:r>
      <w:r w:rsidR="00C045B6">
        <w:t xml:space="preserve">. </w:t>
      </w:r>
      <w:r w:rsidR="00401123">
        <w:t>Here we routinely engage best-</w:t>
      </w:r>
      <w:r w:rsidR="004C7E54">
        <w:t>i</w:t>
      </w:r>
      <w:r w:rsidR="00401123">
        <w:t xml:space="preserve">n-class </w:t>
      </w:r>
      <w:r w:rsidR="001A1BB1">
        <w:t xml:space="preserve">players like NTT Data </w:t>
      </w:r>
      <w:r w:rsidR="006B11A4">
        <w:t xml:space="preserve">Business Solutions </w:t>
      </w:r>
      <w:r w:rsidR="001A1BB1">
        <w:t>and AspireHR</w:t>
      </w:r>
      <w:r w:rsidR="00100B0B">
        <w:t xml:space="preserve">, </w:t>
      </w:r>
      <w:r w:rsidR="00100B0B" w:rsidRPr="008C7B95">
        <w:t>both part of the M&amp;A Ambassador program</w:t>
      </w:r>
      <w:r w:rsidR="00100B0B">
        <w:t xml:space="preserve">, </w:t>
      </w:r>
      <w:r w:rsidR="001A1BB1">
        <w:t xml:space="preserve">who bring a rich experience </w:t>
      </w:r>
      <w:r w:rsidR="0066696E">
        <w:t xml:space="preserve">base along with the partnering attitudes that lead to </w:t>
      </w:r>
      <w:r w:rsidR="002E065E">
        <w:t>added</w:t>
      </w:r>
      <w:r w:rsidR="0066696E">
        <w:t xml:space="preserve"> focus on strategic elements of the IT </w:t>
      </w:r>
      <w:r w:rsidR="001E3EA3">
        <w:t>journey</w:t>
      </w:r>
      <w:r w:rsidR="0066696E">
        <w:t>.</w:t>
      </w:r>
      <w:r w:rsidR="00A035F9">
        <w:t xml:space="preserve"> Critically, </w:t>
      </w:r>
      <w:r w:rsidR="0035130E">
        <w:t>our</w:t>
      </w:r>
      <w:r w:rsidR="00A035F9">
        <w:t xml:space="preserve"> network of leading practitioners </w:t>
      </w:r>
      <w:r w:rsidR="0035130E">
        <w:t xml:space="preserve">routinely </w:t>
      </w:r>
      <w:proofErr w:type="gramStart"/>
      <w:r w:rsidR="0035130E">
        <w:t>work</w:t>
      </w:r>
      <w:proofErr w:type="gramEnd"/>
      <w:r w:rsidR="0035130E">
        <w:t xml:space="preserve"> with us to </w:t>
      </w:r>
      <w:r w:rsidR="00A035F9">
        <w:t>identif</w:t>
      </w:r>
      <w:r w:rsidR="0035130E">
        <w:t xml:space="preserve">y and realize </w:t>
      </w:r>
      <w:r w:rsidR="00612E51">
        <w:t xml:space="preserve">opportunities to optimize the IT operating model </w:t>
      </w:r>
      <w:r w:rsidR="0035130E">
        <w:t>and cost structure.</w:t>
      </w:r>
    </w:p>
    <w:p w14:paraId="00D51C7C" w14:textId="0AB278B9" w:rsidR="0022063B" w:rsidRDefault="0022063B" w:rsidP="0022063B">
      <w:pPr>
        <w:pStyle w:val="BodyTextIndent3"/>
      </w:pPr>
    </w:p>
    <w:p w14:paraId="295A2D77" w14:textId="05EB2685" w:rsidR="0022063B" w:rsidRDefault="00741625" w:rsidP="00AD3C4A">
      <w:pPr>
        <w:pStyle w:val="Heading2"/>
        <w:numPr>
          <w:ilvl w:val="1"/>
          <w:numId w:val="23"/>
        </w:numPr>
      </w:pPr>
      <w:r>
        <w:t xml:space="preserve">Select </w:t>
      </w:r>
      <w:r w:rsidR="00AD3C4A">
        <w:t>a</w:t>
      </w:r>
      <w:r>
        <w:t xml:space="preserve">nd Deploy Platforms </w:t>
      </w:r>
      <w:r w:rsidR="00702AAC">
        <w:t>and Services that Scale</w:t>
      </w:r>
    </w:p>
    <w:p w14:paraId="6CD56EAE" w14:textId="7FD178ED" w:rsidR="008D3AFB" w:rsidRDefault="0022063B" w:rsidP="008D3AFB">
      <w:pPr>
        <w:pStyle w:val="BodyTextIndent3"/>
      </w:pPr>
      <w:r>
        <w:t xml:space="preserve">Finally, </w:t>
      </w:r>
      <w:r w:rsidR="00AD3C4A">
        <w:t>IT must build out, operate, and optimize</w:t>
      </w:r>
      <w:r w:rsidR="0041604D">
        <w:t xml:space="preserve"> the platforms </w:t>
      </w:r>
      <w:r w:rsidR="005D24C4">
        <w:t xml:space="preserve">and capabilities </w:t>
      </w:r>
      <w:r w:rsidR="0041604D">
        <w:t xml:space="preserve">necessary to deliver robust digital services. As we all know security, reliability, and cost effectiveness are the calling cards of </w:t>
      </w:r>
      <w:r w:rsidR="000622E4">
        <w:t>today’s operations. Well beyond those qualifiers</w:t>
      </w:r>
      <w:r w:rsidR="00784D6C">
        <w:t xml:space="preserve">, </w:t>
      </w:r>
      <w:r w:rsidR="008872E5">
        <w:t xml:space="preserve">we </w:t>
      </w:r>
      <w:r w:rsidR="00B733D0">
        <w:t xml:space="preserve">also </w:t>
      </w:r>
      <w:r w:rsidR="008872E5">
        <w:t xml:space="preserve">look deeper into the </w:t>
      </w:r>
      <w:r w:rsidR="00530DB2">
        <w:t xml:space="preserve">“how” our </w:t>
      </w:r>
      <w:r w:rsidR="00530DB2">
        <w:t xml:space="preserve">potential partners deliver </w:t>
      </w:r>
      <w:r w:rsidR="004721B4">
        <w:t>continuous improvement</w:t>
      </w:r>
      <w:r w:rsidR="00D10BDC">
        <w:t>, implement</w:t>
      </w:r>
      <w:r w:rsidR="004721B4">
        <w:t xml:space="preserve"> outcome</w:t>
      </w:r>
      <w:r w:rsidR="002A7B8A">
        <w:t>-</w:t>
      </w:r>
      <w:r w:rsidR="004721B4">
        <w:t xml:space="preserve">based </w:t>
      </w:r>
      <w:r w:rsidR="00DE56D0">
        <w:t>contracting</w:t>
      </w:r>
      <w:r w:rsidR="004721B4">
        <w:t>, and</w:t>
      </w:r>
      <w:r w:rsidR="00D10BDC">
        <w:t xml:space="preserve"> </w:t>
      </w:r>
      <w:r w:rsidR="0061310C">
        <w:t>respond to the urgency our programs require</w:t>
      </w:r>
      <w:r w:rsidR="00081902">
        <w:t xml:space="preserve">. </w:t>
      </w:r>
      <w:r w:rsidR="008D3AFB">
        <w:t>Of special note the speed factor is especially important to (1) exit expensive TSAs and (2) accelerate the focus on value creation.</w:t>
      </w:r>
    </w:p>
    <w:p w14:paraId="33C8CCAB" w14:textId="77777777" w:rsidR="001465A6" w:rsidRDefault="001465A6" w:rsidP="0022063B">
      <w:pPr>
        <w:pStyle w:val="BodyTextIndent3"/>
      </w:pPr>
    </w:p>
    <w:p w14:paraId="42F0AE10" w14:textId="6FAD1760" w:rsidR="00241531" w:rsidRDefault="00916C05" w:rsidP="0022063B">
      <w:pPr>
        <w:pStyle w:val="BodyTextIndent3"/>
      </w:pPr>
      <w:r>
        <w:t xml:space="preserve"> </w:t>
      </w:r>
      <w:r w:rsidR="008A71F1">
        <w:t>Within the context of building out our intended solutions, w</w:t>
      </w:r>
      <w:r>
        <w:t xml:space="preserve">e look hard at partners who offer </w:t>
      </w:r>
      <w:r w:rsidR="00D60020">
        <w:t xml:space="preserve">rapidly tailorable methodologies and </w:t>
      </w:r>
      <w:r w:rsidR="00546371">
        <w:t>existing cross-partner r</w:t>
      </w:r>
      <w:r w:rsidR="00F4167F">
        <w:t>elationships</w:t>
      </w:r>
      <w:r w:rsidR="00546371">
        <w:t>.</w:t>
      </w:r>
      <w:r w:rsidR="00BB65B5">
        <w:t xml:space="preserve"> </w:t>
      </w:r>
      <w:r w:rsidR="005E3B9A">
        <w:t>We see those attributes a</w:t>
      </w:r>
      <w:r w:rsidR="0021223F">
        <w:t>s a</w:t>
      </w:r>
      <w:r w:rsidR="005E3B9A">
        <w:t xml:space="preserve"> strong signal of their commitment to customer success. </w:t>
      </w:r>
      <w:r w:rsidR="00D35BF5">
        <w:t xml:space="preserve">In </w:t>
      </w:r>
      <w:r w:rsidR="00546371">
        <w:t xml:space="preserve">several instances </w:t>
      </w:r>
      <w:r w:rsidR="00D35BF5">
        <w:t>SAP itself</w:t>
      </w:r>
      <w:r w:rsidR="00471F13">
        <w:t xml:space="preserve">, along with its </w:t>
      </w:r>
      <w:r w:rsidR="007C34FD">
        <w:t>Partners</w:t>
      </w:r>
      <w:r w:rsidR="005A171C">
        <w:t xml:space="preserve"> </w:t>
      </w:r>
      <w:r w:rsidR="005A171C" w:rsidRPr="008C7B95">
        <w:t>in the M&amp;A Ambassador program</w:t>
      </w:r>
      <w:r w:rsidR="00471F13">
        <w:t>, was</w:t>
      </w:r>
      <w:r w:rsidR="007C34FD">
        <w:t xml:space="preserve"> invaluable in meeting very ambitious timeline</w:t>
      </w:r>
      <w:r w:rsidR="0021223F">
        <w:t>s</w:t>
      </w:r>
      <w:r w:rsidR="00C242BE">
        <w:t>.</w:t>
      </w:r>
      <w:r w:rsidR="00BB65B5">
        <w:t xml:space="preserve"> </w:t>
      </w:r>
    </w:p>
    <w:p w14:paraId="26C7BA4B" w14:textId="68471DEF" w:rsidR="004D71F8" w:rsidRDefault="004D71F8" w:rsidP="004D71F8">
      <w:pPr>
        <w:pStyle w:val="Heading1"/>
      </w:pPr>
      <w:r>
        <w:t>Looking Forward</w:t>
      </w:r>
    </w:p>
    <w:p w14:paraId="35DAE133" w14:textId="575FEC95" w:rsidR="00471F13" w:rsidRDefault="00DF6EC2" w:rsidP="0021223F">
      <w:pPr>
        <w:pStyle w:val="Text"/>
        <w:ind w:firstLine="90"/>
      </w:pPr>
      <w:r>
        <w:t xml:space="preserve">IT has a nearly unbounded opportunity </w:t>
      </w:r>
      <w:r w:rsidR="00664037">
        <w:t xml:space="preserve">to step forward and play a major value creation role for its business. Recognizing that </w:t>
      </w:r>
      <w:r w:rsidR="002D0E43">
        <w:t xml:space="preserve">several mid-market </w:t>
      </w:r>
      <w:r w:rsidR="00D43213">
        <w:t xml:space="preserve">dynamics </w:t>
      </w:r>
      <w:r w:rsidR="002D0E43">
        <w:t>are in play</w:t>
      </w:r>
      <w:r w:rsidR="00ED610D">
        <w:t xml:space="preserve"> we believe </w:t>
      </w:r>
      <w:r w:rsidR="00DE0DF0">
        <w:t xml:space="preserve">IT </w:t>
      </w:r>
      <w:r w:rsidR="00BC29E5">
        <w:t xml:space="preserve">must necessarily </w:t>
      </w:r>
      <w:r w:rsidR="00B92A4E">
        <w:t xml:space="preserve">and </w:t>
      </w:r>
      <w:r w:rsidR="00ED610D">
        <w:t>proactively</w:t>
      </w:r>
      <w:r w:rsidR="00B92A4E">
        <w:t xml:space="preserve"> address each</w:t>
      </w:r>
      <w:r w:rsidR="00ED610D">
        <w:t xml:space="preserve"> by defining and executing robust plans</w:t>
      </w:r>
      <w:r w:rsidR="003D23A6">
        <w:t>.</w:t>
      </w:r>
    </w:p>
    <w:p w14:paraId="3B24633C" w14:textId="77777777" w:rsidR="00471F13" w:rsidRDefault="00471F13" w:rsidP="004D71F8">
      <w:pPr>
        <w:pStyle w:val="Text"/>
        <w:ind w:firstLine="0"/>
      </w:pPr>
    </w:p>
    <w:p w14:paraId="1E51E247" w14:textId="7CE8F183" w:rsidR="00B35FB5" w:rsidRPr="005A171C" w:rsidRDefault="003D23A6" w:rsidP="004D71F8">
      <w:pPr>
        <w:pStyle w:val="Text"/>
        <w:ind w:firstLine="0"/>
        <w:rPr>
          <w:i/>
          <w:iCs/>
          <w:color w:val="4472C4" w:themeColor="accent1"/>
        </w:rPr>
      </w:pPr>
      <w:r>
        <w:t xml:space="preserve"> We</w:t>
      </w:r>
      <w:r w:rsidR="00037838">
        <w:t xml:space="preserve"> further believe that</w:t>
      </w:r>
      <w:r>
        <w:t xml:space="preserve"> partnering </w:t>
      </w:r>
      <w:r w:rsidR="00037838">
        <w:t>i</w:t>
      </w:r>
      <w:r>
        <w:t>s a criti</w:t>
      </w:r>
      <w:r w:rsidR="00F13271">
        <w:t>c</w:t>
      </w:r>
      <w:r>
        <w:t>al competency</w:t>
      </w:r>
      <w:r w:rsidR="00DA3C0A">
        <w:t>.</w:t>
      </w:r>
      <w:r>
        <w:t xml:space="preserve"> </w:t>
      </w:r>
      <w:r w:rsidR="00DA3C0A">
        <w:t>E</w:t>
      </w:r>
      <w:r w:rsidR="00F13271">
        <w:t>ngagement with leading practitioners, wh</w:t>
      </w:r>
      <w:r w:rsidR="00037838">
        <w:t>o each wear</w:t>
      </w:r>
      <w:r w:rsidR="00F13271">
        <w:t xml:space="preserve"> a</w:t>
      </w:r>
      <w:r w:rsidR="00EB67A4">
        <w:t xml:space="preserve"> </w:t>
      </w:r>
      <w:r w:rsidR="00F13271">
        <w:t xml:space="preserve">bigger hat, </w:t>
      </w:r>
      <w:r w:rsidR="00DE0DF0">
        <w:t xml:space="preserve">will </w:t>
      </w:r>
      <w:r w:rsidR="00EA678E">
        <w:t xml:space="preserve">be a tremendous accelerator to realizing IT’s full potential as a value creator and improvement in overall business competitiveness. </w:t>
      </w:r>
      <w:r w:rsidR="00B5418F" w:rsidRPr="008C7B95">
        <w:t xml:space="preserve">The SAP M&amp;A Ambassador program was built with the PE investment lifecycle in mind beginning from due diligence, sign to close, close to strategy lock, TSA exit and eventual investment exit. This program is an exciting development in market </w:t>
      </w:r>
      <w:r w:rsidR="00C242BE">
        <w:t xml:space="preserve">that </w:t>
      </w:r>
      <w:r w:rsidR="00B5418F">
        <w:t>is</w:t>
      </w:r>
      <w:r w:rsidR="00C242BE">
        <w:t xml:space="preserve"> </w:t>
      </w:r>
      <w:r w:rsidR="00B5418F">
        <w:t>anticipating needs</w:t>
      </w:r>
      <w:r w:rsidR="00C242BE">
        <w:t xml:space="preserve"> and moving to create new </w:t>
      </w:r>
      <w:r w:rsidR="00C73EA9">
        <w:t xml:space="preserve">capabilities, customer </w:t>
      </w:r>
      <w:r w:rsidR="00C242BE">
        <w:t xml:space="preserve">entry </w:t>
      </w:r>
      <w:r w:rsidR="00131300">
        <w:t>points, and competitive pricing for the ever more strategic needs of our businesses.</w:t>
      </w:r>
      <w:r w:rsidR="005A171C" w:rsidRPr="005A171C">
        <w:t xml:space="preserve"> </w:t>
      </w:r>
    </w:p>
    <w:p w14:paraId="3AAD470A" w14:textId="77777777" w:rsidR="00B5418F" w:rsidRPr="005A171C" w:rsidRDefault="00B5418F">
      <w:pPr>
        <w:pStyle w:val="Text"/>
        <w:ind w:firstLine="0"/>
        <w:rPr>
          <w:i/>
          <w:iCs/>
          <w:color w:val="4472C4" w:themeColor="accent1"/>
        </w:rPr>
      </w:pPr>
    </w:p>
    <w:sectPr w:rsidR="00B5418F" w:rsidRPr="005A171C" w:rsidSect="002967C3">
      <w:headerReference w:type="default" r:id="rId9"/>
      <w:type w:val="continuous"/>
      <w:pgSz w:w="12240" w:h="15840" w:code="1"/>
      <w:pgMar w:top="1008" w:right="936" w:bottom="1008" w:left="936" w:header="432" w:footer="432" w:gutter="0"/>
      <w:cols w:num="2" w:space="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B0A54" w14:textId="77777777" w:rsidR="00D316B3" w:rsidRDefault="00D316B3">
      <w:r>
        <w:separator/>
      </w:r>
    </w:p>
  </w:endnote>
  <w:endnote w:type="continuationSeparator" w:id="0">
    <w:p w14:paraId="0C282B39" w14:textId="77777777" w:rsidR="00D316B3" w:rsidRDefault="00D316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694FCA" w14:textId="77777777" w:rsidR="00D316B3" w:rsidRDefault="00D316B3"/>
  </w:footnote>
  <w:footnote w:type="continuationSeparator" w:id="0">
    <w:p w14:paraId="47E9B09D" w14:textId="77777777" w:rsidR="00D316B3" w:rsidRDefault="00D316B3">
      <w:r>
        <w:continuationSeparator/>
      </w:r>
    </w:p>
  </w:footnote>
  <w:footnote w:id="1">
    <w:p w14:paraId="45ED2A3C" w14:textId="77777777" w:rsidR="00061D85" w:rsidRDefault="00C0526E">
      <w:pPr>
        <w:pStyle w:val="FootnoteText"/>
        <w:ind w:firstLine="0"/>
      </w:pPr>
      <w:r>
        <w:t xml:space="preserve"> </w:t>
      </w:r>
    </w:p>
    <w:p w14:paraId="367A11C5" w14:textId="77777777" w:rsidR="00061D85" w:rsidRDefault="00061D8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CC922" w14:textId="77777777" w:rsidR="00061D85" w:rsidRDefault="00061D85">
    <w:pP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B962615A"/>
    <w:lvl w:ilvl="0">
      <w:start w:val="1"/>
      <w:numFmt w:val="upperRoman"/>
      <w:pStyle w:val="Heading1"/>
      <w:lvlText w:val="%1."/>
      <w:lvlJc w:val="left"/>
      <w:pPr>
        <w:tabs>
          <w:tab w:val="num" w:pos="720"/>
        </w:tabs>
        <w:ind w:left="0" w:firstLine="0"/>
      </w:pPr>
      <w:rPr>
        <w:rFonts w:hint="default"/>
      </w:rPr>
    </w:lvl>
    <w:lvl w:ilvl="1">
      <w:start w:val="1"/>
      <w:numFmt w:val="upperLetter"/>
      <w:pStyle w:val="Heading2"/>
      <w:lvlText w:val="%2."/>
      <w:lvlJc w:val="left"/>
      <w:pPr>
        <w:tabs>
          <w:tab w:val="num" w:pos="0"/>
        </w:tabs>
        <w:ind w:left="0" w:firstLine="0"/>
      </w:pPr>
      <w:rPr>
        <w:rFonts w:hint="default"/>
      </w:rPr>
    </w:lvl>
    <w:lvl w:ilvl="2">
      <w:start w:val="1"/>
      <w:numFmt w:val="decimal"/>
      <w:pStyle w:val="Heading3"/>
      <w:lvlText w:val="%3)"/>
      <w:lvlJc w:val="left"/>
      <w:pPr>
        <w:tabs>
          <w:tab w:val="num" w:pos="0"/>
        </w:tabs>
        <w:ind w:left="0" w:firstLine="0"/>
      </w:pPr>
      <w:rPr>
        <w:rFonts w:hint="default"/>
      </w:rPr>
    </w:lvl>
    <w:lvl w:ilvl="3">
      <w:start w:val="1"/>
      <w:numFmt w:val="lowerLetter"/>
      <w:pStyle w:val="Heading4"/>
      <w:lvlText w:val="%4)"/>
      <w:lvlJc w:val="left"/>
      <w:pPr>
        <w:tabs>
          <w:tab w:val="num" w:pos="0"/>
        </w:tabs>
        <w:ind w:left="1152" w:hanging="720"/>
      </w:pPr>
      <w:rPr>
        <w:rFonts w:hint="default"/>
      </w:rPr>
    </w:lvl>
    <w:lvl w:ilvl="4">
      <w:start w:val="1"/>
      <w:numFmt w:val="decimal"/>
      <w:pStyle w:val="Heading5"/>
      <w:lvlText w:val="(%5)"/>
      <w:lvlJc w:val="left"/>
      <w:pPr>
        <w:tabs>
          <w:tab w:val="num" w:pos="0"/>
        </w:tabs>
        <w:ind w:left="1872" w:hanging="720"/>
      </w:pPr>
      <w:rPr>
        <w:rFonts w:hint="default"/>
      </w:rPr>
    </w:lvl>
    <w:lvl w:ilvl="5">
      <w:start w:val="1"/>
      <w:numFmt w:val="lowerLetter"/>
      <w:pStyle w:val="Heading6"/>
      <w:lvlText w:val="(%6)"/>
      <w:lvlJc w:val="left"/>
      <w:pPr>
        <w:tabs>
          <w:tab w:val="num" w:pos="0"/>
        </w:tabs>
        <w:ind w:left="2592" w:hanging="720"/>
      </w:pPr>
      <w:rPr>
        <w:rFonts w:hint="default"/>
      </w:rPr>
    </w:lvl>
    <w:lvl w:ilvl="6">
      <w:start w:val="1"/>
      <w:numFmt w:val="lowerRoman"/>
      <w:pStyle w:val="Heading7"/>
      <w:lvlText w:val="(%7)"/>
      <w:lvlJc w:val="left"/>
      <w:pPr>
        <w:tabs>
          <w:tab w:val="num" w:pos="0"/>
        </w:tabs>
        <w:ind w:left="3312" w:hanging="720"/>
      </w:pPr>
      <w:rPr>
        <w:rFonts w:hint="default"/>
      </w:rPr>
    </w:lvl>
    <w:lvl w:ilvl="7">
      <w:start w:val="1"/>
      <w:numFmt w:val="lowerLetter"/>
      <w:pStyle w:val="Heading8"/>
      <w:lvlText w:val="(%8)"/>
      <w:lvlJc w:val="left"/>
      <w:pPr>
        <w:tabs>
          <w:tab w:val="num" w:pos="0"/>
        </w:tabs>
        <w:ind w:left="4032" w:hanging="720"/>
      </w:pPr>
      <w:rPr>
        <w:rFonts w:hint="default"/>
      </w:rPr>
    </w:lvl>
    <w:lvl w:ilvl="8">
      <w:start w:val="1"/>
      <w:numFmt w:val="lowerRoman"/>
      <w:pStyle w:val="Heading9"/>
      <w:lvlText w:val="(%9)"/>
      <w:lvlJc w:val="left"/>
      <w:pPr>
        <w:tabs>
          <w:tab w:val="num" w:pos="0"/>
        </w:tabs>
        <w:ind w:left="4752" w:hanging="720"/>
      </w:pPr>
      <w:rPr>
        <w:rFonts w:hint="default"/>
      </w:rPr>
    </w:lvl>
  </w:abstractNum>
  <w:abstractNum w:abstractNumId="1" w15:restartNumberingAfterBreak="0">
    <w:nsid w:val="1B0B1D66"/>
    <w:multiLevelType w:val="singleLevel"/>
    <w:tmpl w:val="0BEC9FB0"/>
    <w:lvl w:ilvl="0">
      <w:start w:val="1"/>
      <w:numFmt w:val="none"/>
      <w:lvlText w:val=""/>
      <w:legacy w:legacy="1" w:legacySpace="0" w:legacyIndent="0"/>
      <w:lvlJc w:val="left"/>
      <w:pPr>
        <w:ind w:left="288"/>
      </w:pPr>
    </w:lvl>
  </w:abstractNum>
  <w:abstractNum w:abstractNumId="2" w15:restartNumberingAfterBreak="0">
    <w:nsid w:val="1CBE6B4A"/>
    <w:multiLevelType w:val="hybridMultilevel"/>
    <w:tmpl w:val="A4A6FF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517274C"/>
    <w:multiLevelType w:val="singleLevel"/>
    <w:tmpl w:val="04090011"/>
    <w:lvl w:ilvl="0">
      <w:start w:val="1"/>
      <w:numFmt w:val="decimal"/>
      <w:lvlText w:val="%1)"/>
      <w:lvlJc w:val="left"/>
      <w:pPr>
        <w:tabs>
          <w:tab w:val="num" w:pos="360"/>
        </w:tabs>
        <w:ind w:left="360" w:hanging="360"/>
      </w:pPr>
    </w:lvl>
  </w:abstractNum>
  <w:abstractNum w:abstractNumId="4" w15:restartNumberingAfterBreak="0">
    <w:nsid w:val="27966CD3"/>
    <w:multiLevelType w:val="hybridMultilevel"/>
    <w:tmpl w:val="76E80F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D234D8B"/>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2F8B23F8"/>
    <w:multiLevelType w:val="singleLevel"/>
    <w:tmpl w:val="12CEED98"/>
    <w:lvl w:ilvl="0">
      <w:start w:val="1"/>
      <w:numFmt w:val="decimal"/>
      <w:lvlText w:val="%1."/>
      <w:legacy w:legacy="1" w:legacySpace="0" w:legacyIndent="360"/>
      <w:lvlJc w:val="left"/>
      <w:pPr>
        <w:ind w:left="360" w:hanging="360"/>
      </w:pPr>
    </w:lvl>
  </w:abstractNum>
  <w:abstractNum w:abstractNumId="7" w15:restartNumberingAfterBreak="0">
    <w:nsid w:val="34CE7CAC"/>
    <w:multiLevelType w:val="hybridMultilevel"/>
    <w:tmpl w:val="B58EBA28"/>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9" w15:restartNumberingAfterBreak="0">
    <w:nsid w:val="3AAC1CFC"/>
    <w:multiLevelType w:val="singleLevel"/>
    <w:tmpl w:val="3A8EC28E"/>
    <w:lvl w:ilvl="0">
      <w:start w:val="1"/>
      <w:numFmt w:val="decimal"/>
      <w:lvlText w:val="[%1]"/>
      <w:lvlJc w:val="left"/>
      <w:pPr>
        <w:tabs>
          <w:tab w:val="num" w:pos="360"/>
        </w:tabs>
        <w:ind w:left="360" w:hanging="360"/>
      </w:pPr>
    </w:lvl>
  </w:abstractNum>
  <w:abstractNum w:abstractNumId="10" w15:restartNumberingAfterBreak="0">
    <w:nsid w:val="47332F9F"/>
    <w:multiLevelType w:val="singleLevel"/>
    <w:tmpl w:val="488EC81A"/>
    <w:lvl w:ilvl="0">
      <w:start w:val="1"/>
      <w:numFmt w:val="decimal"/>
      <w:lvlText w:val="%1."/>
      <w:legacy w:legacy="1" w:legacySpace="0" w:legacyIndent="360"/>
      <w:lvlJc w:val="left"/>
      <w:pPr>
        <w:ind w:left="360" w:hanging="360"/>
      </w:pPr>
    </w:lvl>
  </w:abstractNum>
  <w:abstractNum w:abstractNumId="11" w15:restartNumberingAfterBreak="0">
    <w:nsid w:val="4D0B59CF"/>
    <w:multiLevelType w:val="singleLevel"/>
    <w:tmpl w:val="4A4223A6"/>
    <w:lvl w:ilvl="0">
      <w:start w:val="1"/>
      <w:numFmt w:val="decimal"/>
      <w:lvlText w:val="%1."/>
      <w:legacy w:legacy="1" w:legacySpace="0" w:legacyIndent="360"/>
      <w:lvlJc w:val="left"/>
      <w:pPr>
        <w:ind w:left="360" w:hanging="360"/>
      </w:pPr>
    </w:lvl>
  </w:abstractNum>
  <w:abstractNum w:abstractNumId="12" w15:restartNumberingAfterBreak="0">
    <w:nsid w:val="55630736"/>
    <w:multiLevelType w:val="singleLevel"/>
    <w:tmpl w:val="0BEC9FB0"/>
    <w:lvl w:ilvl="0">
      <w:start w:val="1"/>
      <w:numFmt w:val="none"/>
      <w:lvlText w:val=""/>
      <w:legacy w:legacy="1" w:legacySpace="0" w:legacyIndent="0"/>
      <w:lvlJc w:val="left"/>
      <w:pPr>
        <w:ind w:left="288"/>
      </w:pPr>
    </w:lvl>
  </w:abstractNum>
  <w:abstractNum w:abstractNumId="13" w15:restartNumberingAfterBreak="0">
    <w:nsid w:val="6DC3293B"/>
    <w:multiLevelType w:val="singleLevel"/>
    <w:tmpl w:val="3A8EC28E"/>
    <w:lvl w:ilvl="0">
      <w:start w:val="1"/>
      <w:numFmt w:val="decimal"/>
      <w:lvlText w:val="[%1]"/>
      <w:lvlJc w:val="left"/>
      <w:pPr>
        <w:tabs>
          <w:tab w:val="num" w:pos="360"/>
        </w:tabs>
        <w:ind w:left="360" w:hanging="360"/>
      </w:pPr>
    </w:lvl>
  </w:abstractNum>
  <w:abstractNum w:abstractNumId="14" w15:restartNumberingAfterBreak="0">
    <w:nsid w:val="77E315E9"/>
    <w:multiLevelType w:val="singleLevel"/>
    <w:tmpl w:val="0BEC9FB0"/>
    <w:lvl w:ilvl="0">
      <w:start w:val="1"/>
      <w:numFmt w:val="none"/>
      <w:lvlText w:val=""/>
      <w:legacy w:legacy="1" w:legacySpace="0" w:legacyIndent="0"/>
      <w:lvlJc w:val="left"/>
      <w:pPr>
        <w:ind w:left="288"/>
      </w:pPr>
    </w:lvl>
  </w:abstractNum>
  <w:num w:numId="1" w16cid:durableId="98985368">
    <w:abstractNumId w:val="0"/>
  </w:num>
  <w:num w:numId="2" w16cid:durableId="1685399473">
    <w:abstractNumId w:val="6"/>
  </w:num>
  <w:num w:numId="3" w16cid:durableId="219243976">
    <w:abstractNumId w:val="6"/>
    <w:lvlOverride w:ilvl="0">
      <w:lvl w:ilvl="0">
        <w:start w:val="1"/>
        <w:numFmt w:val="decimal"/>
        <w:lvlText w:val="%1."/>
        <w:legacy w:legacy="1" w:legacySpace="0" w:legacyIndent="360"/>
        <w:lvlJc w:val="left"/>
        <w:pPr>
          <w:ind w:left="360" w:hanging="360"/>
        </w:pPr>
      </w:lvl>
    </w:lvlOverride>
  </w:num>
  <w:num w:numId="4" w16cid:durableId="762410571">
    <w:abstractNumId w:val="6"/>
    <w:lvlOverride w:ilvl="0">
      <w:lvl w:ilvl="0">
        <w:start w:val="1"/>
        <w:numFmt w:val="decimal"/>
        <w:lvlText w:val="%1."/>
        <w:legacy w:legacy="1" w:legacySpace="0" w:legacyIndent="360"/>
        <w:lvlJc w:val="left"/>
        <w:pPr>
          <w:ind w:left="360" w:hanging="360"/>
        </w:pPr>
      </w:lvl>
    </w:lvlOverride>
  </w:num>
  <w:num w:numId="5" w16cid:durableId="381177669">
    <w:abstractNumId w:val="6"/>
    <w:lvlOverride w:ilvl="0">
      <w:lvl w:ilvl="0">
        <w:start w:val="1"/>
        <w:numFmt w:val="decimal"/>
        <w:lvlText w:val="%1."/>
        <w:legacy w:legacy="1" w:legacySpace="0" w:legacyIndent="360"/>
        <w:lvlJc w:val="left"/>
        <w:pPr>
          <w:ind w:left="360" w:hanging="360"/>
        </w:pPr>
      </w:lvl>
    </w:lvlOverride>
  </w:num>
  <w:num w:numId="6" w16cid:durableId="1965110858">
    <w:abstractNumId w:val="10"/>
  </w:num>
  <w:num w:numId="7" w16cid:durableId="309291914">
    <w:abstractNumId w:val="10"/>
    <w:lvlOverride w:ilvl="0">
      <w:lvl w:ilvl="0">
        <w:start w:val="1"/>
        <w:numFmt w:val="decimal"/>
        <w:lvlText w:val="%1."/>
        <w:legacy w:legacy="1" w:legacySpace="0" w:legacyIndent="360"/>
        <w:lvlJc w:val="left"/>
        <w:pPr>
          <w:ind w:left="360" w:hanging="360"/>
        </w:pPr>
      </w:lvl>
    </w:lvlOverride>
  </w:num>
  <w:num w:numId="8" w16cid:durableId="1651246157">
    <w:abstractNumId w:val="10"/>
    <w:lvlOverride w:ilvl="0">
      <w:lvl w:ilvl="0">
        <w:start w:val="1"/>
        <w:numFmt w:val="decimal"/>
        <w:lvlText w:val="%1."/>
        <w:legacy w:legacy="1" w:legacySpace="0" w:legacyIndent="360"/>
        <w:lvlJc w:val="left"/>
        <w:pPr>
          <w:ind w:left="360" w:hanging="360"/>
        </w:pPr>
      </w:lvl>
    </w:lvlOverride>
  </w:num>
  <w:num w:numId="9" w16cid:durableId="1879927579">
    <w:abstractNumId w:val="10"/>
    <w:lvlOverride w:ilvl="0">
      <w:lvl w:ilvl="0">
        <w:start w:val="1"/>
        <w:numFmt w:val="decimal"/>
        <w:lvlText w:val="%1."/>
        <w:legacy w:legacy="1" w:legacySpace="0" w:legacyIndent="360"/>
        <w:lvlJc w:val="left"/>
        <w:pPr>
          <w:ind w:left="360" w:hanging="360"/>
        </w:pPr>
      </w:lvl>
    </w:lvlOverride>
  </w:num>
  <w:num w:numId="10" w16cid:durableId="1364400025">
    <w:abstractNumId w:val="10"/>
    <w:lvlOverride w:ilvl="0">
      <w:lvl w:ilvl="0">
        <w:start w:val="1"/>
        <w:numFmt w:val="decimal"/>
        <w:lvlText w:val="%1."/>
        <w:legacy w:legacy="1" w:legacySpace="0" w:legacyIndent="360"/>
        <w:lvlJc w:val="left"/>
        <w:pPr>
          <w:ind w:left="360" w:hanging="360"/>
        </w:pPr>
      </w:lvl>
    </w:lvlOverride>
  </w:num>
  <w:num w:numId="11" w16cid:durableId="2052925246">
    <w:abstractNumId w:val="10"/>
    <w:lvlOverride w:ilvl="0">
      <w:lvl w:ilvl="0">
        <w:start w:val="1"/>
        <w:numFmt w:val="decimal"/>
        <w:lvlText w:val="%1."/>
        <w:legacy w:legacy="1" w:legacySpace="0" w:legacyIndent="360"/>
        <w:lvlJc w:val="left"/>
        <w:pPr>
          <w:ind w:left="360" w:hanging="360"/>
        </w:pPr>
      </w:lvl>
    </w:lvlOverride>
  </w:num>
  <w:num w:numId="12" w16cid:durableId="1846749278">
    <w:abstractNumId w:val="8"/>
  </w:num>
  <w:num w:numId="13" w16cid:durableId="1853648005">
    <w:abstractNumId w:val="1"/>
  </w:num>
  <w:num w:numId="14" w16cid:durableId="11538496">
    <w:abstractNumId w:val="12"/>
  </w:num>
  <w:num w:numId="15" w16cid:durableId="526143339">
    <w:abstractNumId w:val="11"/>
  </w:num>
  <w:num w:numId="16" w16cid:durableId="802886728">
    <w:abstractNumId w:val="14"/>
  </w:num>
  <w:num w:numId="17" w16cid:durableId="1156724949">
    <w:abstractNumId w:val="5"/>
  </w:num>
  <w:num w:numId="18" w16cid:durableId="1170951395">
    <w:abstractNumId w:val="3"/>
  </w:num>
  <w:num w:numId="19" w16cid:durableId="1283655210">
    <w:abstractNumId w:val="13"/>
  </w:num>
  <w:num w:numId="20" w16cid:durableId="305472880">
    <w:abstractNumId w:val="9"/>
  </w:num>
  <w:num w:numId="21" w16cid:durableId="913396735">
    <w:abstractNumId w:val="4"/>
  </w:num>
  <w:num w:numId="22" w16cid:durableId="568424618">
    <w:abstractNumId w:val="2"/>
  </w:num>
  <w:num w:numId="23" w16cid:durableId="1635333074">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1087085">
    <w:abstractNumId w:val="0"/>
  </w:num>
  <w:num w:numId="25" w16cid:durableId="29992052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202"/>
  <w:doNotHyphenateCaps/>
  <w:drawingGridHorizontalSpacing w:val="120"/>
  <w:drawingGridVerticalSpacing w:val="120"/>
  <w:displayHorizontalDrawingGridEvery w:val="0"/>
  <w:displayVerticalDrawingGridEvery w:val="3"/>
  <w:doNotUseMarginsForDrawingGridOrigin/>
  <w:characterSpacingControl w:val="compressPunctuation"/>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9F"/>
    <w:rsid w:val="00003DD2"/>
    <w:rsid w:val="0002061E"/>
    <w:rsid w:val="00025E13"/>
    <w:rsid w:val="000314E8"/>
    <w:rsid w:val="00035209"/>
    <w:rsid w:val="00037838"/>
    <w:rsid w:val="00044DEE"/>
    <w:rsid w:val="00050B02"/>
    <w:rsid w:val="00053C46"/>
    <w:rsid w:val="00060AE5"/>
    <w:rsid w:val="00061D85"/>
    <w:rsid w:val="000622E4"/>
    <w:rsid w:val="00065BCC"/>
    <w:rsid w:val="00067386"/>
    <w:rsid w:val="00072DDE"/>
    <w:rsid w:val="000808A9"/>
    <w:rsid w:val="00081902"/>
    <w:rsid w:val="00086F1E"/>
    <w:rsid w:val="00090856"/>
    <w:rsid w:val="0009268A"/>
    <w:rsid w:val="000A3352"/>
    <w:rsid w:val="000C184A"/>
    <w:rsid w:val="000C2F54"/>
    <w:rsid w:val="000C703C"/>
    <w:rsid w:val="000D092C"/>
    <w:rsid w:val="000D7580"/>
    <w:rsid w:val="000E2DA4"/>
    <w:rsid w:val="000E524D"/>
    <w:rsid w:val="000F615B"/>
    <w:rsid w:val="0010016B"/>
    <w:rsid w:val="00100B0B"/>
    <w:rsid w:val="00101E20"/>
    <w:rsid w:val="00104CCE"/>
    <w:rsid w:val="001073E1"/>
    <w:rsid w:val="00110AE6"/>
    <w:rsid w:val="00112955"/>
    <w:rsid w:val="001157EE"/>
    <w:rsid w:val="001210FE"/>
    <w:rsid w:val="0012262B"/>
    <w:rsid w:val="00131300"/>
    <w:rsid w:val="0013715B"/>
    <w:rsid w:val="001465A6"/>
    <w:rsid w:val="0015289F"/>
    <w:rsid w:val="0015388B"/>
    <w:rsid w:val="00157CE4"/>
    <w:rsid w:val="0016152A"/>
    <w:rsid w:val="00165E5F"/>
    <w:rsid w:val="00176825"/>
    <w:rsid w:val="00180757"/>
    <w:rsid w:val="001846F1"/>
    <w:rsid w:val="00196A5A"/>
    <w:rsid w:val="001A1BB1"/>
    <w:rsid w:val="001B322A"/>
    <w:rsid w:val="001B6C5E"/>
    <w:rsid w:val="001C7CF7"/>
    <w:rsid w:val="001D472E"/>
    <w:rsid w:val="001E2351"/>
    <w:rsid w:val="001E3EA3"/>
    <w:rsid w:val="001E43E0"/>
    <w:rsid w:val="00206A87"/>
    <w:rsid w:val="0020771A"/>
    <w:rsid w:val="0021223F"/>
    <w:rsid w:val="0022063B"/>
    <w:rsid w:val="002330C0"/>
    <w:rsid w:val="0023577E"/>
    <w:rsid w:val="0023660E"/>
    <w:rsid w:val="00241531"/>
    <w:rsid w:val="00251DCA"/>
    <w:rsid w:val="00252184"/>
    <w:rsid w:val="00266C10"/>
    <w:rsid w:val="00286487"/>
    <w:rsid w:val="002967C3"/>
    <w:rsid w:val="002A0CA4"/>
    <w:rsid w:val="002A37DE"/>
    <w:rsid w:val="002A50F1"/>
    <w:rsid w:val="002A6D20"/>
    <w:rsid w:val="002A7B8A"/>
    <w:rsid w:val="002C2469"/>
    <w:rsid w:val="002C6160"/>
    <w:rsid w:val="002D0E43"/>
    <w:rsid w:val="002D1351"/>
    <w:rsid w:val="002D49EE"/>
    <w:rsid w:val="002D55B5"/>
    <w:rsid w:val="002D6C31"/>
    <w:rsid w:val="002E065E"/>
    <w:rsid w:val="002E739B"/>
    <w:rsid w:val="002F0375"/>
    <w:rsid w:val="002F72A8"/>
    <w:rsid w:val="00310F23"/>
    <w:rsid w:val="00323D2F"/>
    <w:rsid w:val="003317FF"/>
    <w:rsid w:val="0033649D"/>
    <w:rsid w:val="00342DA6"/>
    <w:rsid w:val="0035130E"/>
    <w:rsid w:val="003567FF"/>
    <w:rsid w:val="00366C21"/>
    <w:rsid w:val="0037028B"/>
    <w:rsid w:val="00371757"/>
    <w:rsid w:val="00386510"/>
    <w:rsid w:val="00390734"/>
    <w:rsid w:val="00395CBF"/>
    <w:rsid w:val="003A0358"/>
    <w:rsid w:val="003A088B"/>
    <w:rsid w:val="003A288B"/>
    <w:rsid w:val="003A7CA1"/>
    <w:rsid w:val="003C5057"/>
    <w:rsid w:val="003D212E"/>
    <w:rsid w:val="003D23A6"/>
    <w:rsid w:val="003D3B3C"/>
    <w:rsid w:val="003D6495"/>
    <w:rsid w:val="003E78AD"/>
    <w:rsid w:val="003F029A"/>
    <w:rsid w:val="003F17BD"/>
    <w:rsid w:val="003F4DC7"/>
    <w:rsid w:val="00401103"/>
    <w:rsid w:val="00401123"/>
    <w:rsid w:val="00412245"/>
    <w:rsid w:val="0041604D"/>
    <w:rsid w:val="0042308A"/>
    <w:rsid w:val="00425A00"/>
    <w:rsid w:val="0043476A"/>
    <w:rsid w:val="00443955"/>
    <w:rsid w:val="00445ECE"/>
    <w:rsid w:val="0045414B"/>
    <w:rsid w:val="00454FED"/>
    <w:rsid w:val="00471F13"/>
    <w:rsid w:val="004721B4"/>
    <w:rsid w:val="00493FB1"/>
    <w:rsid w:val="00495705"/>
    <w:rsid w:val="004A044A"/>
    <w:rsid w:val="004A0FF0"/>
    <w:rsid w:val="004B7577"/>
    <w:rsid w:val="004C0A21"/>
    <w:rsid w:val="004C7E54"/>
    <w:rsid w:val="004D0AA3"/>
    <w:rsid w:val="004D18AF"/>
    <w:rsid w:val="004D2C87"/>
    <w:rsid w:val="004D4B01"/>
    <w:rsid w:val="004D6EB0"/>
    <w:rsid w:val="004D7193"/>
    <w:rsid w:val="004D71F8"/>
    <w:rsid w:val="004E0266"/>
    <w:rsid w:val="004E4913"/>
    <w:rsid w:val="004E7018"/>
    <w:rsid w:val="004E7905"/>
    <w:rsid w:val="0050029B"/>
    <w:rsid w:val="005050C0"/>
    <w:rsid w:val="00506917"/>
    <w:rsid w:val="00506F2C"/>
    <w:rsid w:val="00510D5E"/>
    <w:rsid w:val="00517A3B"/>
    <w:rsid w:val="005210CA"/>
    <w:rsid w:val="00530DB2"/>
    <w:rsid w:val="00532DD2"/>
    <w:rsid w:val="00536C7A"/>
    <w:rsid w:val="00546371"/>
    <w:rsid w:val="0055283F"/>
    <w:rsid w:val="00557C70"/>
    <w:rsid w:val="00560CB5"/>
    <w:rsid w:val="005645B3"/>
    <w:rsid w:val="0057132E"/>
    <w:rsid w:val="005745B9"/>
    <w:rsid w:val="00576DD5"/>
    <w:rsid w:val="005847E4"/>
    <w:rsid w:val="0058607D"/>
    <w:rsid w:val="005A0ACD"/>
    <w:rsid w:val="005A171C"/>
    <w:rsid w:val="005A1E04"/>
    <w:rsid w:val="005B3EF1"/>
    <w:rsid w:val="005B7D35"/>
    <w:rsid w:val="005D248D"/>
    <w:rsid w:val="005D24C4"/>
    <w:rsid w:val="005D6C92"/>
    <w:rsid w:val="005D7E10"/>
    <w:rsid w:val="005E2A0B"/>
    <w:rsid w:val="005E3B9A"/>
    <w:rsid w:val="005F0C65"/>
    <w:rsid w:val="005F1795"/>
    <w:rsid w:val="00612E51"/>
    <w:rsid w:val="0061310C"/>
    <w:rsid w:val="00630BA2"/>
    <w:rsid w:val="00643DAA"/>
    <w:rsid w:val="00650618"/>
    <w:rsid w:val="006524D3"/>
    <w:rsid w:val="00654391"/>
    <w:rsid w:val="00657CBA"/>
    <w:rsid w:val="00664037"/>
    <w:rsid w:val="0066696E"/>
    <w:rsid w:val="00677E71"/>
    <w:rsid w:val="006917AB"/>
    <w:rsid w:val="006A5D70"/>
    <w:rsid w:val="006B11A4"/>
    <w:rsid w:val="006B31D0"/>
    <w:rsid w:val="006C6ADA"/>
    <w:rsid w:val="006C6FEC"/>
    <w:rsid w:val="006D22BD"/>
    <w:rsid w:val="006F58A0"/>
    <w:rsid w:val="0070197F"/>
    <w:rsid w:val="00702AAC"/>
    <w:rsid w:val="00713F99"/>
    <w:rsid w:val="00714029"/>
    <w:rsid w:val="00714342"/>
    <w:rsid w:val="00736E5F"/>
    <w:rsid w:val="00741220"/>
    <w:rsid w:val="00741625"/>
    <w:rsid w:val="00747ABC"/>
    <w:rsid w:val="00752011"/>
    <w:rsid w:val="00760052"/>
    <w:rsid w:val="00763D16"/>
    <w:rsid w:val="00774180"/>
    <w:rsid w:val="007758A6"/>
    <w:rsid w:val="00776341"/>
    <w:rsid w:val="00784D6C"/>
    <w:rsid w:val="00793330"/>
    <w:rsid w:val="00795557"/>
    <w:rsid w:val="007A64D4"/>
    <w:rsid w:val="007B0D39"/>
    <w:rsid w:val="007C34FD"/>
    <w:rsid w:val="007D23F1"/>
    <w:rsid w:val="007D33DA"/>
    <w:rsid w:val="007E370C"/>
    <w:rsid w:val="007E6147"/>
    <w:rsid w:val="007F1496"/>
    <w:rsid w:val="007F5214"/>
    <w:rsid w:val="00804345"/>
    <w:rsid w:val="0080456C"/>
    <w:rsid w:val="0080773C"/>
    <w:rsid w:val="00807A07"/>
    <w:rsid w:val="0081153E"/>
    <w:rsid w:val="00811AD0"/>
    <w:rsid w:val="008144C5"/>
    <w:rsid w:val="0082026E"/>
    <w:rsid w:val="008226A9"/>
    <w:rsid w:val="00825004"/>
    <w:rsid w:val="00827CEE"/>
    <w:rsid w:val="00840D77"/>
    <w:rsid w:val="00845147"/>
    <w:rsid w:val="00860841"/>
    <w:rsid w:val="00865783"/>
    <w:rsid w:val="008675C0"/>
    <w:rsid w:val="008730E9"/>
    <w:rsid w:val="008872E5"/>
    <w:rsid w:val="00890DA4"/>
    <w:rsid w:val="008A1B35"/>
    <w:rsid w:val="008A71F1"/>
    <w:rsid w:val="008B49C3"/>
    <w:rsid w:val="008B5B52"/>
    <w:rsid w:val="008B6899"/>
    <w:rsid w:val="008C7B95"/>
    <w:rsid w:val="008D0526"/>
    <w:rsid w:val="008D3AFB"/>
    <w:rsid w:val="008D69FF"/>
    <w:rsid w:val="008E182D"/>
    <w:rsid w:val="008E3D64"/>
    <w:rsid w:val="008F5A6B"/>
    <w:rsid w:val="00900129"/>
    <w:rsid w:val="0090273B"/>
    <w:rsid w:val="00913805"/>
    <w:rsid w:val="00916C05"/>
    <w:rsid w:val="009223DF"/>
    <w:rsid w:val="009229E1"/>
    <w:rsid w:val="00944891"/>
    <w:rsid w:val="00946B7C"/>
    <w:rsid w:val="0095200E"/>
    <w:rsid w:val="009525BF"/>
    <w:rsid w:val="00952CBF"/>
    <w:rsid w:val="00955A1D"/>
    <w:rsid w:val="0097012F"/>
    <w:rsid w:val="00970F2E"/>
    <w:rsid w:val="00971FEF"/>
    <w:rsid w:val="00977B4E"/>
    <w:rsid w:val="009831D3"/>
    <w:rsid w:val="00985244"/>
    <w:rsid w:val="00990391"/>
    <w:rsid w:val="0099222B"/>
    <w:rsid w:val="009962E3"/>
    <w:rsid w:val="0099668E"/>
    <w:rsid w:val="00996D64"/>
    <w:rsid w:val="009B2F75"/>
    <w:rsid w:val="009C24E9"/>
    <w:rsid w:val="009C33A2"/>
    <w:rsid w:val="009D37F1"/>
    <w:rsid w:val="009D5D33"/>
    <w:rsid w:val="009E0E06"/>
    <w:rsid w:val="009E3F9F"/>
    <w:rsid w:val="009E6190"/>
    <w:rsid w:val="009F53BB"/>
    <w:rsid w:val="00A035F9"/>
    <w:rsid w:val="00A14C6E"/>
    <w:rsid w:val="00A15A53"/>
    <w:rsid w:val="00A16E2D"/>
    <w:rsid w:val="00A259D4"/>
    <w:rsid w:val="00A31429"/>
    <w:rsid w:val="00A41CDC"/>
    <w:rsid w:val="00A513DE"/>
    <w:rsid w:val="00A607CD"/>
    <w:rsid w:val="00A66F90"/>
    <w:rsid w:val="00A72FD6"/>
    <w:rsid w:val="00A74329"/>
    <w:rsid w:val="00A8780C"/>
    <w:rsid w:val="00A91B6D"/>
    <w:rsid w:val="00A9211D"/>
    <w:rsid w:val="00A97D2B"/>
    <w:rsid w:val="00AA0DF6"/>
    <w:rsid w:val="00AA1AC8"/>
    <w:rsid w:val="00AA4066"/>
    <w:rsid w:val="00AB2263"/>
    <w:rsid w:val="00AC000D"/>
    <w:rsid w:val="00AC17A4"/>
    <w:rsid w:val="00AC1BE2"/>
    <w:rsid w:val="00AC361C"/>
    <w:rsid w:val="00AD3C4A"/>
    <w:rsid w:val="00AE0EBA"/>
    <w:rsid w:val="00AF34C3"/>
    <w:rsid w:val="00B051F1"/>
    <w:rsid w:val="00B07C02"/>
    <w:rsid w:val="00B142A1"/>
    <w:rsid w:val="00B2341A"/>
    <w:rsid w:val="00B254B3"/>
    <w:rsid w:val="00B27075"/>
    <w:rsid w:val="00B319A5"/>
    <w:rsid w:val="00B35FB5"/>
    <w:rsid w:val="00B37C54"/>
    <w:rsid w:val="00B53C38"/>
    <w:rsid w:val="00B5418F"/>
    <w:rsid w:val="00B651B9"/>
    <w:rsid w:val="00B70427"/>
    <w:rsid w:val="00B733D0"/>
    <w:rsid w:val="00B7566E"/>
    <w:rsid w:val="00B90E22"/>
    <w:rsid w:val="00B9215E"/>
    <w:rsid w:val="00B922B4"/>
    <w:rsid w:val="00B92A4E"/>
    <w:rsid w:val="00B94605"/>
    <w:rsid w:val="00BA0536"/>
    <w:rsid w:val="00BB65B5"/>
    <w:rsid w:val="00BC1965"/>
    <w:rsid w:val="00BC29E5"/>
    <w:rsid w:val="00BD5DB0"/>
    <w:rsid w:val="00BD68DD"/>
    <w:rsid w:val="00BE207E"/>
    <w:rsid w:val="00BF7847"/>
    <w:rsid w:val="00C045B6"/>
    <w:rsid w:val="00C0526E"/>
    <w:rsid w:val="00C0795C"/>
    <w:rsid w:val="00C2375C"/>
    <w:rsid w:val="00C242BE"/>
    <w:rsid w:val="00C25764"/>
    <w:rsid w:val="00C32D7C"/>
    <w:rsid w:val="00C36685"/>
    <w:rsid w:val="00C37EEB"/>
    <w:rsid w:val="00C450E2"/>
    <w:rsid w:val="00C548F4"/>
    <w:rsid w:val="00C54EF2"/>
    <w:rsid w:val="00C5535B"/>
    <w:rsid w:val="00C606E1"/>
    <w:rsid w:val="00C720A5"/>
    <w:rsid w:val="00C7362C"/>
    <w:rsid w:val="00C73A0A"/>
    <w:rsid w:val="00C73EA9"/>
    <w:rsid w:val="00C74DF2"/>
    <w:rsid w:val="00C95C3D"/>
    <w:rsid w:val="00CB51A8"/>
    <w:rsid w:val="00CB771B"/>
    <w:rsid w:val="00CC1881"/>
    <w:rsid w:val="00CC1DA8"/>
    <w:rsid w:val="00D0636A"/>
    <w:rsid w:val="00D0680E"/>
    <w:rsid w:val="00D1002C"/>
    <w:rsid w:val="00D10BDC"/>
    <w:rsid w:val="00D14199"/>
    <w:rsid w:val="00D316B3"/>
    <w:rsid w:val="00D336D1"/>
    <w:rsid w:val="00D35BF5"/>
    <w:rsid w:val="00D43213"/>
    <w:rsid w:val="00D60020"/>
    <w:rsid w:val="00D7165A"/>
    <w:rsid w:val="00D76C2E"/>
    <w:rsid w:val="00D808BD"/>
    <w:rsid w:val="00D87573"/>
    <w:rsid w:val="00D97514"/>
    <w:rsid w:val="00DA3151"/>
    <w:rsid w:val="00DA3C0A"/>
    <w:rsid w:val="00DA74AB"/>
    <w:rsid w:val="00DB52E0"/>
    <w:rsid w:val="00DC353D"/>
    <w:rsid w:val="00DC495A"/>
    <w:rsid w:val="00DC5A50"/>
    <w:rsid w:val="00DC6E03"/>
    <w:rsid w:val="00DD13E9"/>
    <w:rsid w:val="00DD1821"/>
    <w:rsid w:val="00DD3618"/>
    <w:rsid w:val="00DD36AA"/>
    <w:rsid w:val="00DD5374"/>
    <w:rsid w:val="00DE0DF0"/>
    <w:rsid w:val="00DE2055"/>
    <w:rsid w:val="00DE56D0"/>
    <w:rsid w:val="00DE6FE8"/>
    <w:rsid w:val="00DF5FE3"/>
    <w:rsid w:val="00DF6EC2"/>
    <w:rsid w:val="00E0071B"/>
    <w:rsid w:val="00E10C7E"/>
    <w:rsid w:val="00E15B78"/>
    <w:rsid w:val="00E25283"/>
    <w:rsid w:val="00E306F8"/>
    <w:rsid w:val="00E40B00"/>
    <w:rsid w:val="00E40C03"/>
    <w:rsid w:val="00E42F10"/>
    <w:rsid w:val="00E4750C"/>
    <w:rsid w:val="00E56692"/>
    <w:rsid w:val="00E57971"/>
    <w:rsid w:val="00E66E2B"/>
    <w:rsid w:val="00E707B1"/>
    <w:rsid w:val="00E70C7B"/>
    <w:rsid w:val="00E81020"/>
    <w:rsid w:val="00E814E7"/>
    <w:rsid w:val="00E82FA8"/>
    <w:rsid w:val="00E907AA"/>
    <w:rsid w:val="00E96536"/>
    <w:rsid w:val="00E97B6A"/>
    <w:rsid w:val="00EA678E"/>
    <w:rsid w:val="00EB428F"/>
    <w:rsid w:val="00EB67A4"/>
    <w:rsid w:val="00EC22FE"/>
    <w:rsid w:val="00EC6B8F"/>
    <w:rsid w:val="00EC7355"/>
    <w:rsid w:val="00ED1132"/>
    <w:rsid w:val="00ED610D"/>
    <w:rsid w:val="00EF7805"/>
    <w:rsid w:val="00F00B73"/>
    <w:rsid w:val="00F02B9B"/>
    <w:rsid w:val="00F044A4"/>
    <w:rsid w:val="00F13271"/>
    <w:rsid w:val="00F4054D"/>
    <w:rsid w:val="00F4167F"/>
    <w:rsid w:val="00F41892"/>
    <w:rsid w:val="00F450E9"/>
    <w:rsid w:val="00F51057"/>
    <w:rsid w:val="00F60EFE"/>
    <w:rsid w:val="00F63468"/>
    <w:rsid w:val="00F657F6"/>
    <w:rsid w:val="00F669CF"/>
    <w:rsid w:val="00F71210"/>
    <w:rsid w:val="00F73B15"/>
    <w:rsid w:val="00F878BD"/>
    <w:rsid w:val="00F87BFE"/>
    <w:rsid w:val="00F909DF"/>
    <w:rsid w:val="00F9686E"/>
    <w:rsid w:val="00F97E4B"/>
    <w:rsid w:val="00FA500A"/>
    <w:rsid w:val="00FA50D1"/>
    <w:rsid w:val="00FB04BF"/>
    <w:rsid w:val="00FC7CB5"/>
    <w:rsid w:val="00FD0FFC"/>
    <w:rsid w:val="00FD76F3"/>
    <w:rsid w:val="00FF1505"/>
    <w:rsid w:val="00FF4E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2EFA7DA"/>
  <w15:chartTrackingRefBased/>
  <w15:docId w15:val="{6B50F002-2110-4284-9CC8-53C2C9F8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pPr>
  </w:style>
  <w:style w:type="paragraph" w:styleId="Heading1">
    <w:name w:val="heading 1"/>
    <w:basedOn w:val="Normal"/>
    <w:next w:val="Normal"/>
    <w:qFormat/>
    <w:pPr>
      <w:keepNext/>
      <w:numPr>
        <w:numId w:val="1"/>
      </w:numPr>
      <w:spacing w:before="240" w:after="80"/>
      <w:jc w:val="center"/>
      <w:outlineLvl w:val="0"/>
    </w:pPr>
    <w:rPr>
      <w:smallCaps/>
      <w:kern w:val="28"/>
    </w:rPr>
  </w:style>
  <w:style w:type="paragraph" w:styleId="Heading2">
    <w:name w:val="heading 2"/>
    <w:basedOn w:val="Normal"/>
    <w:next w:val="Normal"/>
    <w:qFormat/>
    <w:pPr>
      <w:keepNext/>
      <w:numPr>
        <w:ilvl w:val="1"/>
        <w:numId w:val="1"/>
      </w:numPr>
      <w:spacing w:before="120" w:after="60"/>
      <w:outlineLvl w:val="1"/>
    </w:pPr>
    <w:rPr>
      <w:i/>
      <w:iCs/>
    </w:rPr>
  </w:style>
  <w:style w:type="paragraph" w:styleId="Heading3">
    <w:name w:val="heading 3"/>
    <w:basedOn w:val="Normal"/>
    <w:next w:val="Normal"/>
    <w:qFormat/>
    <w:pPr>
      <w:keepNext/>
      <w:numPr>
        <w:ilvl w:val="2"/>
        <w:numId w:val="1"/>
      </w:numPr>
      <w:outlineLvl w:val="2"/>
    </w:pPr>
    <w:rPr>
      <w:i/>
      <w:iCs/>
    </w:rPr>
  </w:style>
  <w:style w:type="paragraph" w:styleId="Heading4">
    <w:name w:val="heading 4"/>
    <w:basedOn w:val="Normal"/>
    <w:next w:val="Normal"/>
    <w:qFormat/>
    <w:pPr>
      <w:keepNext/>
      <w:numPr>
        <w:ilvl w:val="3"/>
        <w:numId w:val="1"/>
      </w:numPr>
      <w:spacing w:before="240" w:after="60"/>
      <w:outlineLvl w:val="3"/>
    </w:pPr>
    <w:rPr>
      <w:i/>
      <w:iCs/>
      <w:sz w:val="18"/>
      <w:szCs w:val="18"/>
    </w:rPr>
  </w:style>
  <w:style w:type="paragraph" w:styleId="Heading5">
    <w:name w:val="heading 5"/>
    <w:basedOn w:val="Normal"/>
    <w:next w:val="Normal"/>
    <w:qFormat/>
    <w:pPr>
      <w:numPr>
        <w:ilvl w:val="4"/>
        <w:numId w:val="1"/>
      </w:numPr>
      <w:spacing w:before="240" w:after="60"/>
      <w:outlineLvl w:val="4"/>
    </w:pPr>
    <w:rPr>
      <w:sz w:val="18"/>
      <w:szCs w:val="18"/>
    </w:rPr>
  </w:style>
  <w:style w:type="paragraph" w:styleId="Heading6">
    <w:name w:val="heading 6"/>
    <w:basedOn w:val="Normal"/>
    <w:next w:val="Normal"/>
    <w:qFormat/>
    <w:pPr>
      <w:numPr>
        <w:ilvl w:val="5"/>
        <w:numId w:val="1"/>
      </w:numPr>
      <w:spacing w:before="240" w:after="60"/>
      <w:outlineLvl w:val="5"/>
    </w:pPr>
    <w:rPr>
      <w:i/>
      <w:iCs/>
      <w:sz w:val="16"/>
      <w:szCs w:val="16"/>
    </w:rPr>
  </w:style>
  <w:style w:type="paragraph" w:styleId="Heading7">
    <w:name w:val="heading 7"/>
    <w:basedOn w:val="Normal"/>
    <w:next w:val="Normal"/>
    <w:qFormat/>
    <w:pPr>
      <w:numPr>
        <w:ilvl w:val="6"/>
        <w:numId w:val="1"/>
      </w:numPr>
      <w:spacing w:before="240" w:after="60"/>
      <w:outlineLvl w:val="6"/>
    </w:pPr>
    <w:rPr>
      <w:sz w:val="16"/>
      <w:szCs w:val="16"/>
    </w:rPr>
  </w:style>
  <w:style w:type="paragraph" w:styleId="Heading8">
    <w:name w:val="heading 8"/>
    <w:basedOn w:val="Normal"/>
    <w:next w:val="Normal"/>
    <w:qFormat/>
    <w:pPr>
      <w:numPr>
        <w:ilvl w:val="7"/>
        <w:numId w:val="1"/>
      </w:numPr>
      <w:spacing w:before="240" w:after="60"/>
      <w:outlineLvl w:val="7"/>
    </w:pPr>
    <w:rPr>
      <w:i/>
      <w:iCs/>
      <w:sz w:val="16"/>
      <w:szCs w:val="16"/>
    </w:rPr>
  </w:style>
  <w:style w:type="paragraph" w:styleId="Heading9">
    <w:name w:val="heading 9"/>
    <w:basedOn w:val="Normal"/>
    <w:next w:val="Normal"/>
    <w:qFormat/>
    <w:pPr>
      <w:numPr>
        <w:ilvl w:val="8"/>
        <w:numId w:val="1"/>
      </w:numPr>
      <w:spacing w:before="240" w:after="60"/>
      <w:outlineLvl w:val="8"/>
    </w:pPr>
    <w:rPr>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next w:val="Normal"/>
    <w:pPr>
      <w:spacing w:before="20"/>
      <w:ind w:firstLine="202"/>
      <w:jc w:val="both"/>
    </w:pPr>
    <w:rPr>
      <w:b/>
      <w:bCs/>
      <w:sz w:val="18"/>
      <w:szCs w:val="18"/>
    </w:rPr>
  </w:style>
  <w:style w:type="paragraph" w:customStyle="1" w:styleId="Authors">
    <w:name w:val="Authors"/>
    <w:basedOn w:val="Normal"/>
    <w:next w:val="Normal"/>
    <w:pPr>
      <w:framePr w:w="9072" w:hSpace="187" w:vSpace="187" w:wrap="notBeside" w:vAnchor="text" w:hAnchor="page" w:xAlign="center" w:y="1"/>
      <w:spacing w:after="320"/>
      <w:jc w:val="center"/>
    </w:pPr>
    <w:rPr>
      <w:sz w:val="22"/>
      <w:szCs w:val="22"/>
    </w:rPr>
  </w:style>
  <w:style w:type="character" w:customStyle="1" w:styleId="MemberType">
    <w:name w:val="MemberType"/>
    <w:basedOn w:val="DefaultParagraphFont"/>
    <w:rPr>
      <w:rFonts w:ascii="Times New Roman" w:hAnsi="Times New Roman" w:cs="Times New Roman"/>
      <w:i/>
      <w:iCs/>
      <w:sz w:val="22"/>
      <w:szCs w:val="22"/>
    </w:rPr>
  </w:style>
  <w:style w:type="paragraph" w:styleId="Title">
    <w:name w:val="Title"/>
    <w:basedOn w:val="Normal"/>
    <w:next w:val="Normal"/>
    <w:qFormat/>
    <w:pPr>
      <w:framePr w:w="9360" w:hSpace="187" w:vSpace="187" w:wrap="notBeside" w:vAnchor="text" w:hAnchor="page" w:xAlign="center" w:y="1"/>
      <w:jc w:val="center"/>
    </w:pPr>
    <w:rPr>
      <w:kern w:val="28"/>
      <w:sz w:val="48"/>
      <w:szCs w:val="48"/>
    </w:rPr>
  </w:style>
  <w:style w:type="paragraph" w:styleId="FootnoteText">
    <w:name w:val="footnote text"/>
    <w:basedOn w:val="Normal"/>
    <w:semiHidden/>
    <w:pPr>
      <w:ind w:firstLine="202"/>
      <w:jc w:val="both"/>
    </w:pPr>
    <w:rPr>
      <w:sz w:val="16"/>
      <w:szCs w:val="16"/>
    </w:rPr>
  </w:style>
  <w:style w:type="paragraph" w:customStyle="1" w:styleId="References">
    <w:name w:val="References"/>
    <w:basedOn w:val="Normal"/>
    <w:pPr>
      <w:numPr>
        <w:numId w:val="12"/>
      </w:numPr>
      <w:jc w:val="both"/>
    </w:pPr>
    <w:rPr>
      <w:sz w:val="16"/>
      <w:szCs w:val="16"/>
    </w:rPr>
  </w:style>
  <w:style w:type="paragraph" w:customStyle="1" w:styleId="IndexTerms">
    <w:name w:val="IndexTerms"/>
    <w:basedOn w:val="Normal"/>
    <w:next w:val="Normal"/>
    <w:pPr>
      <w:ind w:firstLine="202"/>
      <w:jc w:val="both"/>
    </w:pPr>
    <w:rPr>
      <w:b/>
      <w:bCs/>
      <w:sz w:val="18"/>
      <w:szCs w:val="18"/>
    </w:rPr>
  </w:style>
  <w:style w:type="character" w:styleId="FootnoteReference">
    <w:name w:val="footnote reference"/>
    <w:basedOn w:val="DefaultParagraphFont"/>
    <w:semiHidden/>
    <w:rPr>
      <w:vertAlign w:val="superscript"/>
    </w:rPr>
  </w:style>
  <w:style w:type="paragraph" w:styleId="Footer">
    <w:name w:val="footer"/>
    <w:basedOn w:val="Normal"/>
    <w:semiHidden/>
    <w:pPr>
      <w:tabs>
        <w:tab w:val="center" w:pos="4320"/>
        <w:tab w:val="right" w:pos="8640"/>
      </w:tabs>
    </w:pPr>
  </w:style>
  <w:style w:type="paragraph" w:customStyle="1" w:styleId="Text">
    <w:name w:val="Text"/>
    <w:basedOn w:val="Normal"/>
    <w:pPr>
      <w:widowControl w:val="0"/>
      <w:spacing w:line="252" w:lineRule="auto"/>
      <w:ind w:firstLine="202"/>
      <w:jc w:val="both"/>
    </w:pPr>
  </w:style>
  <w:style w:type="paragraph" w:customStyle="1" w:styleId="FigureCaption">
    <w:name w:val="Figure Caption"/>
    <w:basedOn w:val="Normal"/>
    <w:pPr>
      <w:jc w:val="both"/>
    </w:pPr>
    <w:rPr>
      <w:sz w:val="16"/>
      <w:szCs w:val="16"/>
    </w:rPr>
  </w:style>
  <w:style w:type="paragraph" w:customStyle="1" w:styleId="TableTitle">
    <w:name w:val="Table Title"/>
    <w:basedOn w:val="Normal"/>
    <w:pPr>
      <w:jc w:val="center"/>
    </w:pPr>
    <w:rPr>
      <w:smallCaps/>
      <w:sz w:val="16"/>
      <w:szCs w:val="16"/>
    </w:rPr>
  </w:style>
  <w:style w:type="paragraph" w:customStyle="1" w:styleId="ReferenceHead">
    <w:name w:val="Reference Head"/>
    <w:basedOn w:val="Heading1"/>
    <w:pPr>
      <w:numPr>
        <w:numId w:val="0"/>
      </w:numPr>
    </w:pPr>
  </w:style>
  <w:style w:type="paragraph" w:styleId="Header">
    <w:name w:val="header"/>
    <w:basedOn w:val="Normal"/>
    <w:semiHidden/>
    <w:pPr>
      <w:tabs>
        <w:tab w:val="center" w:pos="4320"/>
        <w:tab w:val="right" w:pos="8640"/>
      </w:tabs>
    </w:pPr>
  </w:style>
  <w:style w:type="paragraph" w:customStyle="1" w:styleId="Equation">
    <w:name w:val="Equation"/>
    <w:basedOn w:val="Normal"/>
    <w:next w:val="Normal"/>
    <w:pPr>
      <w:widowControl w:val="0"/>
      <w:tabs>
        <w:tab w:val="right" w:pos="5040"/>
      </w:tabs>
      <w:spacing w:line="252" w:lineRule="auto"/>
      <w:jc w:val="both"/>
    </w:pPr>
  </w:style>
  <w:style w:type="character" w:styleId="Hyperlink">
    <w:name w:val="Hyperlink"/>
    <w:basedOn w:val="DefaultParagraphFont"/>
    <w:semiHidden/>
    <w:rPr>
      <w:color w:val="0000FF"/>
      <w:u w:val="single"/>
    </w:rPr>
  </w:style>
  <w:style w:type="character" w:styleId="FollowedHyperlink">
    <w:name w:val="FollowedHyperlink"/>
    <w:basedOn w:val="DefaultParagraphFont"/>
    <w:semiHidden/>
    <w:rPr>
      <w:color w:val="800080"/>
      <w:u w:val="single"/>
    </w:rPr>
  </w:style>
  <w:style w:type="paragraph" w:styleId="BodyTextIndent">
    <w:name w:val="Body Text Indent"/>
    <w:basedOn w:val="Normal"/>
    <w:semiHidden/>
    <w:pPr>
      <w:ind w:left="630" w:hanging="630"/>
    </w:pPr>
    <w:rPr>
      <w:szCs w:val="24"/>
    </w:rPr>
  </w:style>
  <w:style w:type="paragraph" w:styleId="BodyTextIndent2">
    <w:name w:val="Body Text Indent 2"/>
    <w:basedOn w:val="Normal"/>
    <w:semiHidden/>
    <w:pPr>
      <w:ind w:firstLine="180"/>
    </w:pPr>
  </w:style>
  <w:style w:type="paragraph" w:styleId="BodyTextIndent3">
    <w:name w:val="Body Text Indent 3"/>
    <w:basedOn w:val="Normal"/>
    <w:semiHidden/>
    <w:pPr>
      <w:ind w:firstLine="187"/>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876439-A534-487D-8D37-6F50B8A61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1488</Words>
  <Characters>7993</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vt:lpstr>
    </vt:vector>
  </TitlesOfParts>
  <Company>IEEE</Company>
  <LinksUpToDate>false</LinksUpToDate>
  <CharactersWithSpaces>9463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IEEE Transactions on Magnetics</dc:subject>
  <dc:creator>-</dc:creator>
  <cp:keywords/>
  <dc:description/>
  <cp:lastModifiedBy>Thomas Fountain</cp:lastModifiedBy>
  <cp:revision>2</cp:revision>
  <cp:lastPrinted>2002-04-02T16:54:00Z</cp:lastPrinted>
  <dcterms:created xsi:type="dcterms:W3CDTF">2025-09-03T14:57:00Z</dcterms:created>
  <dcterms:modified xsi:type="dcterms:W3CDTF">2025-09-03T14:57:00Z</dcterms:modified>
</cp:coreProperties>
</file>